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8417D4" w14:textId="77777777" w:rsidR="00F62C8B" w:rsidRPr="00905DD7" w:rsidRDefault="000F3A41" w:rsidP="004C531E">
      <w:pPr>
        <w:pStyle w:val="RSCM01ReceivedAccepted"/>
      </w:pPr>
      <w:bookmarkStart w:id="0" w:name="_Hlk162038798"/>
      <w:bookmarkEnd w:id="0"/>
      <w:r w:rsidRPr="00905DD7">
        <mc:AlternateContent>
          <mc:Choice Requires="wps">
            <w:drawing>
              <wp:anchor distT="180340" distB="0" distL="114300" distR="114300" simplePos="0" relativeHeight="251662336" behindDoc="1" locked="1" layoutInCell="0" allowOverlap="0" wp14:anchorId="5B54B28E" wp14:editId="42557A89">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1208BD86" w14:textId="02642ABF" w:rsidR="002324FA" w:rsidRPr="002324FA" w:rsidRDefault="002324FA" w:rsidP="00C405FD">
                            <w:pPr>
                              <w:pStyle w:val="RSCF01FootnoteAuthorAddress"/>
                            </w:pPr>
                            <w:r w:rsidRPr="002324FA">
                              <w:rPr>
                                <w:lang w:val="en-US"/>
                              </w:rPr>
                              <w:t xml:space="preserve">Department of Organic Chemical Technology and Petrochemistry, Faculty of Chemistry, Silesian University of Technology, Bolesława </w:t>
                            </w:r>
                            <w:proofErr w:type="spellStart"/>
                            <w:r w:rsidRPr="002324FA">
                              <w:rPr>
                                <w:lang w:val="en-US"/>
                              </w:rPr>
                              <w:t>Krzywoustego</w:t>
                            </w:r>
                            <w:proofErr w:type="spellEnd"/>
                            <w:r w:rsidRPr="002324FA">
                              <w:rPr>
                                <w:lang w:val="en-US"/>
                              </w:rPr>
                              <w:t xml:space="preserve"> 4, 44-100 Gliwice, Poland.</w:t>
                            </w:r>
                            <w:r w:rsidRPr="002324FA">
                              <w:t xml:space="preserve"> </w:t>
                            </w:r>
                            <w:r>
                              <w:t xml:space="preserve">*E-mail: </w:t>
                            </w:r>
                            <w:r w:rsidRPr="00AE19CB">
                              <w:t>anna.chrobok@polsl.pl</w:t>
                            </w:r>
                            <w:r>
                              <w:t xml:space="preserve"> </w:t>
                            </w:r>
                            <w:r w:rsidRPr="00073400">
                              <w:t xml:space="preserve"> </w:t>
                            </w:r>
                          </w:p>
                          <w:p w14:paraId="6416649F" w14:textId="77777777" w:rsidR="002324FA" w:rsidRDefault="002324FA" w:rsidP="002324FA">
                            <w:pPr>
                              <w:pStyle w:val="RSCF01FootnoteAuthorAddress"/>
                            </w:pPr>
                            <w:r>
                              <w:t xml:space="preserve">Institute for Engineering of Polymer Materials and Dyes, Lukasiewicz Research Network, </w:t>
                            </w:r>
                            <w:proofErr w:type="spellStart"/>
                            <w:r>
                              <w:t>Sklodowskiej</w:t>
                            </w:r>
                            <w:proofErr w:type="spellEnd"/>
                            <w:r>
                              <w:t>-Curie 55, PL-87100 Torun, Poland.</w:t>
                            </w:r>
                          </w:p>
                          <w:p w14:paraId="26A84251" w14:textId="77777777" w:rsidR="002324FA" w:rsidRPr="002324FA" w:rsidRDefault="00126027" w:rsidP="002324FA">
                            <w:pPr>
                              <w:pStyle w:val="RSCF01FootnoteAuthorAddress"/>
                              <w:rPr>
                                <w:lang w:val="en-US"/>
                              </w:rPr>
                            </w:pPr>
                            <w:r w:rsidRPr="00C405FD">
                              <w:t xml:space="preserve">Address </w:t>
                            </w:r>
                            <w:r w:rsidR="002324FA" w:rsidRPr="002324FA">
                              <w:rPr>
                                <w:lang w:val="en-US"/>
                              </w:rPr>
                              <w:t>School of Chemistry, Monash University, Clayton, Victoria 3800, Australia.</w:t>
                            </w:r>
                          </w:p>
                          <w:p w14:paraId="59DFEF79" w14:textId="714F29BC" w:rsidR="002324FA" w:rsidRPr="00C405FD" w:rsidRDefault="002324FA" w:rsidP="00474433">
                            <w:pPr>
                              <w:pStyle w:val="RSCF01FootnoteAuthorAddress"/>
                            </w:pPr>
                            <w:r>
                              <w:t xml:space="preserve">The QUILL Research Centre, School of Chemistry and Chemical Engineering, Queen's University of Belfast, David Keir Building, </w:t>
                            </w:r>
                            <w:proofErr w:type="spellStart"/>
                            <w:r>
                              <w:t>Stranmillis</w:t>
                            </w:r>
                            <w:proofErr w:type="spellEnd"/>
                            <w:r>
                              <w:t xml:space="preserve"> Road, Belfast BT9 5AG, UK. *E-mail:</w:t>
                            </w:r>
                            <w:r w:rsidR="00474433" w:rsidRPr="00474433">
                              <w:rPr>
                                <w:rFonts w:ascii="Times" w:eastAsia="Times New Roman" w:hAnsi="Times"/>
                                <w:sz w:val="24"/>
                                <w:szCs w:val="20"/>
                                <w:lang w:val="en-US"/>
                              </w:rPr>
                              <w:t xml:space="preserve"> </w:t>
                            </w:r>
                            <w:r w:rsidR="00474433" w:rsidRPr="00474433">
                              <w:t>m.swadzba-kwasny@qub.ac.uk</w:t>
                            </w:r>
                          </w:p>
                          <w:p w14:paraId="71856912" w14:textId="25E9326C" w:rsidR="00C405FD" w:rsidRPr="00241ACD" w:rsidRDefault="00BB1181" w:rsidP="00241ACD">
                            <w:pPr>
                              <w:pStyle w:val="RSCF02FootnotestoTitleAuthors"/>
                            </w:pPr>
                            <w:r w:rsidRPr="00BB1181">
                              <w:t>†Electronic supplementary information (ESI) available: Referenced data S1 and S2, detailed experimental information and TGA thermal curves.</w:t>
                            </w:r>
                            <w:r w:rsidR="00E21961">
                              <w:t xml:space="preserve"> </w:t>
                            </w:r>
                            <w:r w:rsidR="008C682F" w:rsidRPr="00241ACD">
                              <w:t>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54144;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" o:allowincell="f" o:allowoverlap="f" stroked="f">
                <o:lock v:ext="edit" aspectratio="t"/>
                <v:textbox style="mso-fit-shape-to-text:t" inset="0,1mm,0,1mm">
                  <w:txbxContent>
                    <w:p w14:paraId="1208BD86" w14:textId="02642ABF" w:rsidR="002324FA" w:rsidRPr="002324FA" w:rsidRDefault="002324FA" w:rsidP="00C405FD">
                      <w:pPr>
                        <w:pStyle w:val="RSCF01FootnoteAuthorAddress"/>
                      </w:pPr>
                      <w:r w:rsidRPr="002324FA">
                        <w:rPr>
                          <w:lang w:val="en-US"/>
                        </w:rPr>
                        <w:t xml:space="preserve">Department of Organic Chemical Technology and Petrochemistry, Faculty of Chemistry, Silesian University of Technology, Bolesława </w:t>
                      </w:r>
                      <w:proofErr w:type="spellStart"/>
                      <w:r w:rsidRPr="002324FA">
                        <w:rPr>
                          <w:lang w:val="en-US"/>
                        </w:rPr>
                        <w:t>Krzywoustego</w:t>
                      </w:r>
                      <w:proofErr w:type="spellEnd"/>
                      <w:r w:rsidRPr="002324FA">
                        <w:rPr>
                          <w:lang w:val="en-US"/>
                        </w:rPr>
                        <w:t xml:space="preserve"> 4, 44-100 Gliwice, Poland.</w:t>
                      </w:r>
                      <w:r w:rsidRPr="002324FA">
                        <w:t xml:space="preserve"> </w:t>
                      </w:r>
                      <w:r>
                        <w:t xml:space="preserve">*E-mail: </w:t>
                      </w:r>
                      <w:r w:rsidRPr="00AE19CB">
                        <w:t>anna.chrobok@polsl.pl</w:t>
                      </w:r>
                      <w:r>
                        <w:t xml:space="preserve"> </w:t>
                      </w:r>
                      <w:r w:rsidRPr="00073400">
                        <w:t xml:space="preserve"> </w:t>
                      </w:r>
                    </w:p>
                    <w:p w14:paraId="6416649F" w14:textId="77777777" w:rsidR="002324FA" w:rsidRDefault="002324FA" w:rsidP="002324FA">
                      <w:pPr>
                        <w:pStyle w:val="RSCF01FootnoteAuthorAddress"/>
                      </w:pPr>
                      <w:r>
                        <w:t xml:space="preserve">Institute for Engineering of Polymer Materials and Dyes, Lukasiewicz Research Network, </w:t>
                      </w:r>
                      <w:proofErr w:type="spellStart"/>
                      <w:r>
                        <w:t>Sklodowskiej</w:t>
                      </w:r>
                      <w:proofErr w:type="spellEnd"/>
                      <w:r>
                        <w:t>-Curie 55, PL-87100 Torun, Poland.</w:t>
                      </w:r>
                    </w:p>
                    <w:p w14:paraId="26A84251" w14:textId="77777777" w:rsidR="002324FA" w:rsidRPr="002324FA" w:rsidRDefault="00126027" w:rsidP="002324FA">
                      <w:pPr>
                        <w:pStyle w:val="RSCF01FootnoteAuthorAddress"/>
                        <w:rPr>
                          <w:lang w:val="en-US"/>
                        </w:rPr>
                      </w:pPr>
                      <w:r w:rsidRPr="00C405FD">
                        <w:t xml:space="preserve">Address </w:t>
                      </w:r>
                      <w:r w:rsidR="002324FA" w:rsidRPr="002324FA">
                        <w:rPr>
                          <w:lang w:val="en-US"/>
                        </w:rPr>
                        <w:t>School of Chemistry, Monash University, Clayton, Victoria 3800, Australia.</w:t>
                      </w:r>
                    </w:p>
                    <w:p w14:paraId="59DFEF79" w14:textId="714F29BC" w:rsidR="002324FA" w:rsidRPr="00C405FD" w:rsidRDefault="002324FA" w:rsidP="00474433">
                      <w:pPr>
                        <w:pStyle w:val="RSCF01FootnoteAuthorAddress"/>
                      </w:pPr>
                      <w:r>
                        <w:t xml:space="preserve">The QUILL Research Centre, School of Chemistry and Chemical Engineering, Queen's University of Belfast, David Keir Building, </w:t>
                      </w:r>
                      <w:proofErr w:type="spellStart"/>
                      <w:r>
                        <w:t>Stranmillis</w:t>
                      </w:r>
                      <w:proofErr w:type="spellEnd"/>
                      <w:r>
                        <w:t xml:space="preserve"> Road, Belfast BT9 5AG, UK. *E-mail:</w:t>
                      </w:r>
                      <w:r w:rsidR="00474433" w:rsidRPr="00474433">
                        <w:rPr>
                          <w:rFonts w:ascii="Times" w:eastAsia="Times New Roman" w:hAnsi="Times"/>
                          <w:sz w:val="24"/>
                          <w:szCs w:val="20"/>
                          <w:lang w:val="en-US"/>
                        </w:rPr>
                        <w:t xml:space="preserve"> </w:t>
                      </w:r>
                      <w:r w:rsidR="00474433" w:rsidRPr="00474433">
                        <w:t>m.swadzba-kwasny@qub.ac.uk</w:t>
                      </w:r>
                    </w:p>
                    <w:p w14:paraId="71856912" w14:textId="25E9326C" w:rsidR="00C405FD" w:rsidRPr="00241ACD" w:rsidRDefault="00BB1181" w:rsidP="00241ACD">
                      <w:pPr>
                        <w:pStyle w:val="RSCF02FootnotestoTitleAuthors"/>
                      </w:pPr>
                      <w:r w:rsidRPr="00BB1181">
                        <w:t>†Electronic supplementary information (ESI) available: Referenced data S1 and S2, detailed experimental information and TGA thermal curves.</w:t>
                      </w:r>
                      <w:r w:rsidR="00E21961">
                        <w:t xml:space="preserve"> </w:t>
                      </w:r>
                      <w:r w:rsidR="008C682F" w:rsidRPr="00241ACD">
                        <w:t>See DOI: 10.1039/x0xx00000x</w:t>
                      </w:r>
                    </w:p>
                  </w:txbxContent>
                </v:textbox>
                <w10:wrap type="topAndBottom" anchory="margin"/>
                <w10:anchorlock/>
              </v:shape>
            </w:pict>
          </mc:Fallback>
        </mc:AlternateContent>
      </w:r>
      <w:r w:rsidR="00F62C8B" w:rsidRPr="00905DD7">
        <w:t>Received 00th January 20</w:t>
      </w:r>
      <w:r w:rsidR="00F15F90" w:rsidRPr="00905DD7">
        <w:t>xx</w:t>
      </w:r>
      <w:r w:rsidR="00F62C8B" w:rsidRPr="00905DD7">
        <w:t>,</w:t>
      </w:r>
    </w:p>
    <w:p w14:paraId="5E930491" w14:textId="77777777" w:rsidR="00F62C8B" w:rsidRPr="00BF0131" w:rsidRDefault="00F62C8B" w:rsidP="004C531E">
      <w:pPr>
        <w:pStyle w:val="RSCM01ReceivedAccepted"/>
      </w:pPr>
      <w:r w:rsidRPr="00BF0131">
        <w:t>Accepted 00th January 20</w:t>
      </w:r>
      <w:r w:rsidR="00F15F90" w:rsidRPr="00BF0131">
        <w:t>xx</w:t>
      </w:r>
    </w:p>
    <w:p w14:paraId="492325BD" w14:textId="77777777" w:rsidR="00F62C8B" w:rsidRPr="00BF0131" w:rsidRDefault="00F62C8B" w:rsidP="004C531E">
      <w:pPr>
        <w:pStyle w:val="RSCM02DOI"/>
      </w:pPr>
      <w:r w:rsidRPr="00BF0131">
        <w:t>DOI: 10.1039/x0xx00000x</w:t>
      </w:r>
    </w:p>
    <w:p w14:paraId="646B8F30" w14:textId="6358663E" w:rsidR="00A9649E" w:rsidRPr="00BF0131" w:rsidRDefault="00A9649E" w:rsidP="004C531E">
      <w:pPr>
        <w:pStyle w:val="RSCM03Website"/>
      </w:pPr>
    </w:p>
    <w:p w14:paraId="51574338" w14:textId="77777777" w:rsidR="002B62B5" w:rsidRPr="00BF0131" w:rsidRDefault="002B62B5" w:rsidP="004C531E">
      <w:pPr>
        <w:pStyle w:val="RSCM03Website"/>
      </w:pPr>
    </w:p>
    <w:p w14:paraId="0D6101E0" w14:textId="037D80AE" w:rsidR="004414A5" w:rsidRPr="00BF0131" w:rsidRDefault="00F62C8B" w:rsidP="00C32EDF">
      <w:pPr>
        <w:pStyle w:val="RSCH01PaperTitle"/>
      </w:pPr>
      <w:r w:rsidRPr="00BF0131">
        <w:br w:type="column"/>
      </w:r>
      <w:bookmarkStart w:id="1" w:name="_Hlk171104719"/>
      <w:r w:rsidR="002D455B" w:rsidRPr="00BF0131">
        <w:t xml:space="preserve">Al(III) and Ga(III) </w:t>
      </w:r>
      <w:r w:rsidR="002620F4" w:rsidRPr="00BF0131">
        <w:t>t</w:t>
      </w:r>
      <w:r w:rsidR="002D455B" w:rsidRPr="00BF0131">
        <w:t>riflate</w:t>
      </w:r>
      <w:r w:rsidR="002620F4" w:rsidRPr="00BF0131">
        <w:t xml:space="preserve"> complexes as solvate ionic liquids</w:t>
      </w:r>
      <w:r w:rsidR="002D455B" w:rsidRPr="00BF0131">
        <w:t>:</w:t>
      </w:r>
      <w:r w:rsidR="00400C14" w:rsidRPr="00BF0131">
        <w:t xml:space="preserve"> </w:t>
      </w:r>
      <w:r w:rsidR="002975E2">
        <w:t xml:space="preserve">speciation </w:t>
      </w:r>
      <w:r w:rsidR="002D455B" w:rsidRPr="00BF0131">
        <w:t xml:space="preserve">and </w:t>
      </w:r>
      <w:r w:rsidR="002975E2">
        <w:t>application as recyclable</w:t>
      </w:r>
      <w:r w:rsidR="002D455B" w:rsidRPr="00BF0131">
        <w:t xml:space="preserve"> Lewis acid</w:t>
      </w:r>
      <w:r w:rsidR="002975E2">
        <w:t>ic</w:t>
      </w:r>
      <w:r w:rsidR="002D455B" w:rsidRPr="00BF0131">
        <w:t xml:space="preserve"> catalysts</w:t>
      </w:r>
      <w:r w:rsidR="004414A5" w:rsidRPr="00BF0131">
        <w:t xml:space="preserve"> </w:t>
      </w:r>
      <w:bookmarkEnd w:id="1"/>
    </w:p>
    <w:p w14:paraId="5D91B541" w14:textId="58F262AE" w:rsidR="008125A0" w:rsidRPr="00BF0131" w:rsidRDefault="002D455B" w:rsidP="008125A0">
      <w:pPr>
        <w:pStyle w:val="RSCB01ARTAbstract"/>
        <w:rPr>
          <w:rFonts w:cs="Times New Roman"/>
          <w:sz w:val="20"/>
          <w:vertAlign w:val="superscript"/>
          <w:lang w:val="pl-PL"/>
        </w:rPr>
      </w:pPr>
      <w:r w:rsidRPr="00BF0131">
        <w:rPr>
          <w:rFonts w:cs="Times New Roman"/>
          <w:sz w:val="20"/>
          <w:lang w:val="pl-PL"/>
        </w:rPr>
        <w:t>Justyna Więcławik</w:t>
      </w:r>
      <w:r w:rsidR="008125A0" w:rsidRPr="00BF0131">
        <w:rPr>
          <w:rFonts w:cs="Times New Roman"/>
          <w:sz w:val="20"/>
          <w:lang w:val="pl-PL"/>
        </w:rPr>
        <w:t>,</w:t>
      </w:r>
      <w:r w:rsidR="008125A0" w:rsidRPr="00BF0131">
        <w:rPr>
          <w:rFonts w:cs="Times New Roman"/>
          <w:sz w:val="20"/>
          <w:vertAlign w:val="superscript"/>
          <w:lang w:val="pl-PL"/>
        </w:rPr>
        <w:t>a</w:t>
      </w:r>
      <w:r w:rsidR="008125A0" w:rsidRPr="00BF0131">
        <w:rPr>
          <w:rFonts w:cs="Times New Roman"/>
          <w:sz w:val="20"/>
          <w:lang w:val="pl-PL"/>
        </w:rPr>
        <w:t xml:space="preserve"> </w:t>
      </w:r>
      <w:r w:rsidRPr="00BF0131">
        <w:rPr>
          <w:rFonts w:cs="Times New Roman"/>
          <w:sz w:val="20"/>
          <w:lang w:val="pl-PL"/>
        </w:rPr>
        <w:t>Alina Brzęczek-Szafran,</w:t>
      </w:r>
      <w:r w:rsidR="00DF7758" w:rsidRPr="00BF0131">
        <w:rPr>
          <w:rFonts w:cs="Times New Roman"/>
          <w:sz w:val="20"/>
          <w:vertAlign w:val="superscript"/>
          <w:lang w:val="pl-PL"/>
        </w:rPr>
        <w:t>a</w:t>
      </w:r>
      <w:r w:rsidRPr="00BF0131">
        <w:rPr>
          <w:rFonts w:cs="Times New Roman"/>
          <w:sz w:val="20"/>
          <w:lang w:val="pl-PL"/>
        </w:rPr>
        <w:t xml:space="preserve"> </w:t>
      </w:r>
      <w:r w:rsidR="00DF7758" w:rsidRPr="00BF0131">
        <w:rPr>
          <w:rFonts w:cs="Times New Roman"/>
          <w:sz w:val="20"/>
          <w:lang w:val="pl-PL"/>
        </w:rPr>
        <w:t>Sebastian Jurczyk</w:t>
      </w:r>
      <w:r w:rsidR="00DF7758" w:rsidRPr="00BF0131">
        <w:rPr>
          <w:lang w:val="pl-PL"/>
        </w:rPr>
        <w:t>,</w:t>
      </w:r>
      <w:r w:rsidR="008125A0" w:rsidRPr="00BF0131">
        <w:rPr>
          <w:rFonts w:cs="Times New Roman"/>
          <w:sz w:val="20"/>
          <w:vertAlign w:val="superscript"/>
          <w:lang w:val="pl-PL"/>
        </w:rPr>
        <w:t>b</w:t>
      </w:r>
      <w:r w:rsidR="008125A0" w:rsidRPr="00BF0131">
        <w:rPr>
          <w:rFonts w:cs="Times New Roman"/>
          <w:sz w:val="20"/>
          <w:lang w:val="pl-PL"/>
        </w:rPr>
        <w:t xml:space="preserve"> </w:t>
      </w:r>
      <w:r w:rsidR="00DF7758" w:rsidRPr="00BF0131">
        <w:rPr>
          <w:rFonts w:cs="Times New Roman"/>
          <w:sz w:val="20"/>
          <w:lang w:val="pl-PL"/>
        </w:rPr>
        <w:t>Karolina Matuszek,</w:t>
      </w:r>
      <w:r w:rsidR="00DF7758" w:rsidRPr="00BF0131">
        <w:rPr>
          <w:rFonts w:cs="Times New Roman"/>
          <w:sz w:val="20"/>
          <w:vertAlign w:val="superscript"/>
          <w:lang w:val="pl-PL"/>
        </w:rPr>
        <w:t>c</w:t>
      </w:r>
      <w:r w:rsidR="00DF7758" w:rsidRPr="00BF0131">
        <w:rPr>
          <w:rFonts w:cs="Times New Roman"/>
          <w:sz w:val="20"/>
          <w:lang w:val="pl-PL"/>
        </w:rPr>
        <w:t xml:space="preserve"> Małgorzata Swadźba-Kwaśny</w:t>
      </w:r>
      <w:r w:rsidR="00DF7758" w:rsidRPr="00BF0131">
        <w:rPr>
          <w:rFonts w:cs="Times New Roman"/>
          <w:sz w:val="20"/>
          <w:vertAlign w:val="superscript"/>
          <w:lang w:val="pl-PL"/>
        </w:rPr>
        <w:t xml:space="preserve"> </w:t>
      </w:r>
      <w:r w:rsidR="00DF7758" w:rsidRPr="00BF0131">
        <w:rPr>
          <w:rFonts w:cs="Times New Roman"/>
          <w:sz w:val="20"/>
          <w:lang w:val="pl-PL"/>
        </w:rPr>
        <w:t>*</w:t>
      </w:r>
      <w:r w:rsidR="00DF7758" w:rsidRPr="00BF0131">
        <w:rPr>
          <w:rFonts w:cs="Times New Roman"/>
          <w:sz w:val="20"/>
          <w:vertAlign w:val="superscript"/>
          <w:lang w:val="pl-PL"/>
        </w:rPr>
        <w:t>d</w:t>
      </w:r>
      <w:r w:rsidR="00DF7758" w:rsidRPr="00BF0131">
        <w:rPr>
          <w:rFonts w:cs="Times New Roman"/>
          <w:sz w:val="20"/>
          <w:lang w:val="pl-PL"/>
        </w:rPr>
        <w:t xml:space="preserve"> </w:t>
      </w:r>
      <w:r w:rsidR="008125A0" w:rsidRPr="00BF0131">
        <w:rPr>
          <w:rFonts w:cs="Times New Roman"/>
          <w:sz w:val="20"/>
          <w:lang w:val="pl-PL"/>
        </w:rPr>
        <w:t>and</w:t>
      </w:r>
      <w:r w:rsidR="00DF7758" w:rsidRPr="00BF0131">
        <w:rPr>
          <w:rFonts w:cs="Times New Roman"/>
          <w:sz w:val="20"/>
          <w:lang w:val="pl-PL"/>
        </w:rPr>
        <w:t xml:space="preserve"> Anna Chrobok *</w:t>
      </w:r>
      <w:r w:rsidR="00DF7758" w:rsidRPr="00BF0131">
        <w:rPr>
          <w:rFonts w:cs="Times New Roman"/>
          <w:sz w:val="20"/>
          <w:vertAlign w:val="superscript"/>
          <w:lang w:val="pl-PL"/>
        </w:rPr>
        <w:t>a</w:t>
      </w:r>
    </w:p>
    <w:p w14:paraId="39E3785F" w14:textId="7E81728A" w:rsidR="00FA2DA2" w:rsidRPr="00905DD7" w:rsidRDefault="00DF7758" w:rsidP="00E01F3B">
      <w:pPr>
        <w:pStyle w:val="RSCB01ARTAbstract"/>
        <w:sectPr w:rsidR="00FA2DA2" w:rsidRPr="00905DD7" w:rsidSect="006004C5">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r w:rsidRPr="00BF0131">
        <w:t>Th</w:t>
      </w:r>
      <w:r w:rsidR="00905DD7" w:rsidRPr="00BF0131">
        <w:t>is work reports</w:t>
      </w:r>
      <w:r w:rsidRPr="00BF0131">
        <w:t xml:space="preserve"> </w:t>
      </w:r>
      <w:r w:rsidR="00905DD7" w:rsidRPr="00BF0131">
        <w:t xml:space="preserve">the </w:t>
      </w:r>
      <w:r w:rsidR="002975E2">
        <w:t xml:space="preserve">on </w:t>
      </w:r>
      <w:r w:rsidRPr="00BF0131">
        <w:t>first solvate ionic liquids (SILs) based on aluminium(III) or gallium(III) triflate</w:t>
      </w:r>
      <w:r w:rsidR="00E01F3B">
        <w:t>, M(OTf)</w:t>
      </w:r>
      <w:r w:rsidR="00E01F3B" w:rsidRPr="00EE61BD">
        <w:rPr>
          <w:vertAlign w:val="subscript"/>
        </w:rPr>
        <w:t>3</w:t>
      </w:r>
      <w:r w:rsidRPr="00BF0131">
        <w:t xml:space="preserve"> and triglyme (G3)</w:t>
      </w:r>
      <w:r w:rsidR="002975E2">
        <w:t>. L</w:t>
      </w:r>
      <w:r w:rsidRPr="00BF0131">
        <w:t xml:space="preserve">iquid-phase speciation </w:t>
      </w:r>
      <w:r w:rsidR="002975E2">
        <w:t xml:space="preserve">of these new SILs was </w:t>
      </w:r>
      <w:r w:rsidRPr="00BF0131">
        <w:t>studied by multinuclear NMR spectroscopy. Across compositional range of G3:M(OTf)</w:t>
      </w:r>
      <w:r w:rsidRPr="00BF0131">
        <w:rPr>
          <w:vertAlign w:val="subscript"/>
        </w:rPr>
        <w:t>3</w:t>
      </w:r>
      <w:r w:rsidRPr="00BF0131">
        <w:t xml:space="preserve"> mixtures, both metals were</w:t>
      </w:r>
      <w:r w:rsidR="00E01F3B">
        <w:t xml:space="preserve"> found to be</w:t>
      </w:r>
      <w:r w:rsidRPr="00BF0131">
        <w:t xml:space="preserve"> in hexacoordinate environment, </w:t>
      </w:r>
      <w:r w:rsidR="00E01F3B">
        <w:t>with</w:t>
      </w:r>
      <w:r w:rsidR="00E01F3B" w:rsidRPr="00BF0131">
        <w:t xml:space="preserve"> </w:t>
      </w:r>
      <w:r w:rsidRPr="00BF0131">
        <w:t>both G3 and [OTf]</w:t>
      </w:r>
      <w:r w:rsidRPr="00BF0131">
        <w:rPr>
          <w:vertAlign w:val="superscript"/>
        </w:rPr>
        <w:t>-</w:t>
      </w:r>
      <w:r w:rsidRPr="00BF0131">
        <w:t xml:space="preserve"> ligands</w:t>
      </w:r>
      <w:r w:rsidR="00E01F3B">
        <w:t xml:space="preserve"> present in the first coordination sphere</w:t>
      </w:r>
      <w:r w:rsidRPr="00BF0131">
        <w:t xml:space="preserve">, </w:t>
      </w:r>
      <w:r w:rsidR="00E01F3B">
        <w:t>and apparently exchanging through</w:t>
      </w:r>
      <w:r w:rsidR="00E01F3B" w:rsidRPr="00BF0131">
        <w:t xml:space="preserve"> </w:t>
      </w:r>
      <w:r w:rsidRPr="00BF0131">
        <w:t xml:space="preserve">a dynamic equilibrium. </w:t>
      </w:r>
      <w:r w:rsidR="00E01F3B" w:rsidRPr="00BF0131">
        <w:t xml:space="preserve">The Lewis acidity was quantified by Gutmann acceptor number (AN) and compared to the performance of SILs as Lewis acidic catalysts in </w:t>
      </w:r>
      <w:r w:rsidR="00E01F3B">
        <w:t xml:space="preserve">model </w:t>
      </w:r>
      <w:r w:rsidR="00E01F3B" w:rsidRPr="00BF0131">
        <w:t xml:space="preserve">[3+3] cycloadditions. </w:t>
      </w:r>
      <w:r w:rsidRPr="00BF0131">
        <w:t xml:space="preserve">Despite saturated coordination, AN values were high (AN = 70.8 – 93.4), corroborating </w:t>
      </w:r>
      <w:r w:rsidR="00E01F3B">
        <w:t xml:space="preserve">the </w:t>
      </w:r>
      <w:r w:rsidRPr="00BF0131">
        <w:t xml:space="preserve">dynamic nature of metal-ligand bonding. SILs were fully soluble in the reaction mixtures, in contrast to the corresponding triflate salts. Catalytic performance </w:t>
      </w:r>
      <w:r w:rsidR="00E01F3B">
        <w:t xml:space="preserve">of SILs was better than that of the </w:t>
      </w:r>
      <w:r w:rsidR="00E01F3B" w:rsidRPr="00BF0131">
        <w:t>corresponding triflate salts</w:t>
      </w:r>
      <w:r w:rsidR="00E01F3B">
        <w:t xml:space="preserve">, and </w:t>
      </w:r>
      <w:r w:rsidR="004622A3" w:rsidRPr="00BF0131">
        <w:t>Ga</w:t>
      </w:r>
      <w:r w:rsidRPr="00BF0131">
        <w:t xml:space="preserve">-SILs </w:t>
      </w:r>
      <w:r w:rsidR="00E01F3B">
        <w:t xml:space="preserve">were </w:t>
      </w:r>
      <w:r w:rsidRPr="00BF0131">
        <w:t>more active</w:t>
      </w:r>
      <w:r w:rsidR="004622A3" w:rsidRPr="00BF0131">
        <w:t xml:space="preserve"> than Al-SILs</w:t>
      </w:r>
      <w:r w:rsidRPr="00BF0131">
        <w:t xml:space="preserve">. </w:t>
      </w:r>
      <w:r w:rsidR="00E01F3B">
        <w:t xml:space="preserve">In conclusion, the new </w:t>
      </w:r>
      <w:r w:rsidRPr="00BF0131">
        <w:t>Group 13</w:t>
      </w:r>
      <w:r w:rsidR="00E01F3B">
        <w:t xml:space="preserve"> SILs can be considered as soluble and catalytically active form of their corresponding metal triflates, with potential uses in catalysis</w:t>
      </w:r>
      <w:r w:rsidRPr="00BF0131">
        <w:t>.</w:t>
      </w:r>
    </w:p>
    <w:p w14:paraId="601E2238" w14:textId="091EC166" w:rsidR="001A6712" w:rsidRPr="00905DD7" w:rsidRDefault="00FA2DA2" w:rsidP="00FA2DA2">
      <w:pPr>
        <w:pStyle w:val="RSCB04AHeadingSection"/>
      </w:pPr>
      <w:r w:rsidRPr="00905DD7">
        <w:t>Introduction</w:t>
      </w:r>
    </w:p>
    <w:p w14:paraId="19F803C0" w14:textId="62F19356" w:rsidR="000A265C" w:rsidRPr="00905DD7" w:rsidRDefault="000A265C" w:rsidP="001011D8">
      <w:pPr>
        <w:pStyle w:val="RSCB02ArticleText"/>
        <w:rPr>
          <w:lang w:val="en-GB"/>
        </w:rPr>
      </w:pPr>
      <w:r w:rsidRPr="00905DD7">
        <w:rPr>
          <w:lang w:val="en-GB"/>
        </w:rPr>
        <w:t>The concept of functional liquids, in which a metal cation was solvated by L-type ligands, was firstly introduced by Angell in 1965.</w:t>
      </w:r>
      <w:r w:rsidRPr="00905DD7">
        <w:rPr>
          <w:lang w:val="en-GB"/>
        </w:rPr>
        <w:fldChar w:fldCharType="begin" w:fldLock="1"/>
      </w:r>
      <w:r w:rsidR="0083367C" w:rsidRPr="00905DD7">
        <w:rPr>
          <w:lang w:val="en-GB"/>
        </w:rPr>
        <w:instrText>ADDIN CSL_CITATION {"citationItems":[{"id":"ITEM-1","itemData":{"DOI":"10.1149/1.2423406","ISSN":"00134651","abstract":"On the basis of solubility and electrical conductance measurements, a new class of molten salt mixtures involving hydrated multivalent cations as independent cation species is proposed. It is shown that these ionsconfer essentially the same properties on the solutions as expected theoretically from hard sphere cations of the same charge: radius ratio. The solutions are of considerable potential interest since they have especially low liquidus temperatures for molten salt systems and, as a result, are frequently glass forming. The investigation of ionic liquid behavior at low free volumes (high densities)should, therefore, be possible in a variety of systems. By way of an example, KNO3 is found to dissolve to the extent of some 70 tool % at 100¼ in the “hydrate melt” Ca(NO3)2.4H2O. The application of free volume transport theory equations to the analysis of electrical conductance data for this system produces striking correlations with electrical conductance behavior in the anhydrous system Ca(NO3)2+KNO3. © 1965, The Electrochemical Society, Inc. All rights reserved.","author":[{"dropping-particle":"","family":"Angell","given":"C. Austen","non-dropping-particle":"","parse-names":false,"suffix":""}],"container-title":"Journal of The Electrochemical Society","id":"ITEM-1","issue":"12","issued":{"date-parts":[["1965","12","1"]]},"page":"1224","publisher":"The Electrochemical Society","title":"A New Class of Molten Salt Mixtures The Hydrated Dipositive Ion as an Independent Cation Species","type":"article-journal","volume":"112"},"uris":["http://www.mendeley.com/documents/?uuid=52dd83e4-9823-4c78-8176-4f4733400e32"]}],"mendeley":{"formattedCitation":"&lt;sup&gt;1&lt;/sup&gt;","plainTextFormattedCitation":"1","previouslyFormattedCitation":"&lt;sup&gt;1&lt;/sup&gt;"},"properties":{"noteIndex":0},"schema":"https://github.com/citation-style-language/schema/raw/master/csl-citation.json"}</w:instrText>
      </w:r>
      <w:r w:rsidRPr="00905DD7">
        <w:rPr>
          <w:lang w:val="en-GB"/>
        </w:rPr>
        <w:fldChar w:fldCharType="separate"/>
      </w:r>
      <w:r w:rsidRPr="00905DD7">
        <w:rPr>
          <w:noProof/>
          <w:vertAlign w:val="superscript"/>
          <w:lang w:val="en-GB"/>
        </w:rPr>
        <w:t>1</w:t>
      </w:r>
      <w:r w:rsidRPr="00905DD7">
        <w:rPr>
          <w:lang w:val="en-GB"/>
        </w:rPr>
        <w:fldChar w:fldCharType="end"/>
      </w:r>
      <w:r w:rsidRPr="00905DD7">
        <w:rPr>
          <w:lang w:val="en-GB"/>
        </w:rPr>
        <w:t xml:space="preserve"> He described hydrates, such as Ca(NO</w:t>
      </w:r>
      <w:r w:rsidRPr="00905DD7">
        <w:rPr>
          <w:vertAlign w:val="subscript"/>
          <w:lang w:val="en-GB"/>
        </w:rPr>
        <w:t>3</w:t>
      </w:r>
      <w:r w:rsidRPr="00905DD7">
        <w:rPr>
          <w:lang w:val="en-GB"/>
        </w:rPr>
        <w:t>)</w:t>
      </w:r>
      <w:r w:rsidRPr="00905DD7">
        <w:rPr>
          <w:vertAlign w:val="subscript"/>
          <w:lang w:val="en-GB"/>
        </w:rPr>
        <w:t>2</w:t>
      </w:r>
      <w:r w:rsidRPr="00905DD7">
        <w:rPr>
          <w:lang w:val="en-GB"/>
        </w:rPr>
        <w:t>∙4H</w:t>
      </w:r>
      <w:r w:rsidRPr="00905DD7">
        <w:rPr>
          <w:vertAlign w:val="subscript"/>
          <w:lang w:val="en-GB"/>
        </w:rPr>
        <w:t>2</w:t>
      </w:r>
      <w:r w:rsidRPr="00905DD7">
        <w:rPr>
          <w:lang w:val="en-GB"/>
        </w:rPr>
        <w:t xml:space="preserve">O, as a ‘‘new class of molten salt mixtures’’, </w:t>
      </w:r>
      <w:r w:rsidRPr="00BF0131">
        <w:rPr>
          <w:lang w:val="en-GB"/>
        </w:rPr>
        <w:t>recognising</w:t>
      </w:r>
      <w:r w:rsidRPr="00905DD7">
        <w:rPr>
          <w:lang w:val="en-GB"/>
        </w:rPr>
        <w:t xml:space="preserve"> that solvating the metal cation generates low-melting hydrates with high conductivities, potentially useful as electrolytes.</w:t>
      </w:r>
      <w:r w:rsidRPr="00905DD7">
        <w:rPr>
          <w:lang w:val="en-GB"/>
        </w:rPr>
        <w:fldChar w:fldCharType="begin" w:fldLock="1"/>
      </w:r>
      <w:r w:rsidR="0083367C" w:rsidRPr="00905DD7">
        <w:rPr>
          <w:lang w:val="en-GB"/>
        </w:rPr>
        <w:instrText>ADDIN CSL_CITATION {"citationItems":[{"id":"ITEM-1","itemData":{"DOI":"10.1039/c1fd00112d","ISSN":"13596640","PMID":"22455011","abstract":"An overview of the field of low-melting ionic liquids is given from its inception in 1886 through to the present time. The subject is divided into an introductory section that summarizes the early history of the field, and differentiates its sub-sections, before addressing matters judged of some interest in \"pre-surge\" and \"post-surge\" stages of its development, focusing on physicochemical as opposed to the prolific synthetic and industrial aspects in which the author has no competence. We give a final section specifically to protic ionic liquids, which we consider to have particular scientific potential. © 2012 The Royal Society of Chemistry.","author":[{"dropping-particle":"","family":"Austen Angell","given":"C.","non-dropping-particle":"","parse-names":false,"suffix":""},{"dropping-particle":"","family":"Ansari","given":"Younes","non-dropping-particle":"","parse-names":false,"suffix":""},{"dropping-particle":"","family":"Zhao","given":"Zuofeng","non-dropping-particle":"","parse-names":false,"suffix":""}],"container-title":"Faraday Discussions","id":"ITEM-1","issue":"0","issued":{"date-parts":[["2012","11","29"]]},"page":"9-27","publisher":"The Royal Society of Chemistry","title":"Ionic Liquids: Past, present and future","type":"article-journal","volume":"154"},"uris":["http://www.mendeley.com/documents/?uuid=3d00304a-c4dd-43a0-a7d2-c575517f1b52"]}],"mendeley":{"formattedCitation":"&lt;sup&gt;2&lt;/sup&gt;","plainTextFormattedCitation":"2","previouslyFormattedCitation":"&lt;sup&gt;2&lt;/sup&gt;"},"properties":{"noteIndex":0},"schema":"https://github.com/citation-style-language/schema/raw/master/csl-citation.json"}</w:instrText>
      </w:r>
      <w:r w:rsidRPr="00905DD7">
        <w:rPr>
          <w:lang w:val="en-GB"/>
        </w:rPr>
        <w:fldChar w:fldCharType="separate"/>
      </w:r>
      <w:r w:rsidRPr="00905DD7">
        <w:rPr>
          <w:noProof/>
          <w:vertAlign w:val="superscript"/>
          <w:lang w:val="en-GB"/>
        </w:rPr>
        <w:t>2</w:t>
      </w:r>
      <w:r w:rsidRPr="00905DD7">
        <w:rPr>
          <w:lang w:val="en-GB"/>
        </w:rPr>
        <w:fldChar w:fldCharType="end"/>
      </w:r>
      <w:r w:rsidRPr="00905DD7">
        <w:rPr>
          <w:lang w:val="en-GB"/>
        </w:rPr>
        <w:t xml:space="preserve"> In contrast to molten salts, however, thermal stability of such “molten salt mixtures” was limited by the aqua ligand.</w:t>
      </w:r>
    </w:p>
    <w:p w14:paraId="33973C6A" w14:textId="4DA7D278" w:rsidR="00BF6BD9" w:rsidRDefault="000A265C">
      <w:pPr>
        <w:pStyle w:val="RSCB02ArticleText"/>
        <w:ind w:firstLine="284"/>
        <w:rPr>
          <w:lang w:val="en-GB"/>
        </w:rPr>
      </w:pPr>
      <w:r w:rsidRPr="00905DD7">
        <w:rPr>
          <w:lang w:val="en-GB"/>
        </w:rPr>
        <w:t xml:space="preserve">A similar approach was used </w:t>
      </w:r>
      <w:r w:rsidR="000C0F4F">
        <w:rPr>
          <w:lang w:val="en-GB"/>
        </w:rPr>
        <w:t>in the design of</w:t>
      </w:r>
      <w:r w:rsidRPr="00905DD7">
        <w:rPr>
          <w:lang w:val="en-GB"/>
        </w:rPr>
        <w:t xml:space="preserve"> liquid coordination complexes (LCCs), in which metal halides were combined with sub-equimolar quantities of organic L-donors, </w:t>
      </w:r>
      <w:r w:rsidRPr="00905DD7">
        <w:rPr>
          <w:i/>
          <w:iCs/>
          <w:lang w:val="en-GB"/>
        </w:rPr>
        <w:t>e.g</w:t>
      </w:r>
      <w:r w:rsidRPr="00905DD7">
        <w:rPr>
          <w:lang w:val="en-GB"/>
        </w:rPr>
        <w:t>. AlCl</w:t>
      </w:r>
      <w:r w:rsidRPr="00905DD7">
        <w:rPr>
          <w:vertAlign w:val="subscript"/>
          <w:lang w:val="en-GB"/>
        </w:rPr>
        <w:t>3</w:t>
      </w:r>
      <w:r w:rsidRPr="00905DD7">
        <w:rPr>
          <w:lang w:val="en-GB"/>
        </w:rPr>
        <w:t xml:space="preserve"> and acetamide, or GaCl</w:t>
      </w:r>
      <w:r w:rsidRPr="00905DD7">
        <w:rPr>
          <w:vertAlign w:val="subscript"/>
          <w:lang w:val="en-GB"/>
        </w:rPr>
        <w:t>3</w:t>
      </w:r>
      <w:r w:rsidRPr="00905DD7">
        <w:rPr>
          <w:lang w:val="en-GB"/>
        </w:rPr>
        <w:t xml:space="preserve"> and </w:t>
      </w:r>
      <w:proofErr w:type="spellStart"/>
      <w:r w:rsidRPr="00905DD7">
        <w:rPr>
          <w:lang w:val="en-GB"/>
        </w:rPr>
        <w:t>trioctylphosphine</w:t>
      </w:r>
      <w:proofErr w:type="spellEnd"/>
      <w:r w:rsidRPr="00905DD7">
        <w:rPr>
          <w:lang w:val="en-GB"/>
        </w:rPr>
        <w:t xml:space="preserve"> oxide.</w:t>
      </w:r>
      <w:r w:rsidRPr="00905DD7">
        <w:rPr>
          <w:lang w:val="en-GB"/>
        </w:rPr>
        <w:fldChar w:fldCharType="begin" w:fldLock="1"/>
      </w:r>
      <w:r w:rsidR="0083367C" w:rsidRPr="00905DD7">
        <w:rPr>
          <w:lang w:val="en-GB"/>
        </w:rPr>
        <w:instrText>ADDIN CSL_CITATION {"citationItems":[{"id":"ITEM-1","itemData":{"DOI":"10.1002/anie.201306267","ISSN":"14337851","PMID":"24127224","abstract":"Confused complexes: Reaction of a range of donor molecules with AlCl 3 or GaCl3, gives mobile liquids with very high metal contents. They contain statistically distributed mixtures of anionic, cationic, and neutral complexes in equilibrium. These liquid coordination complexes (LCCs), have high conductivity, tunable Lewis acidity, and low vapor pressure. Copyright © 2013 WILEY-VCH Verlag GmbH &amp; Co. KGaA, Weinheim.","author":[{"dropping-particle":"","family":"Coleman","given":"Fergal","non-dropping-particle":"","parse-names":false,"suffix":""},{"dropping-particle":"","family":"Srinivasan","given":"Geetha","non-dropping-particle":"","parse-names":false,"suffix":""},{"dropping-particle":"","family":"Swadźba-Kwaśny","given":"Małgorzata","non-dropping-particle":"","parse-names":false,"suffix":""}],"container-title":"Angewandte Chemie - International Edition","id":"ITEM-1","issue":"48","issued":{"date-parts":[["2013","11","25"]]},"page":"12582-12586","publisher":"John Wiley &amp; Sons, Ltd","title":"Liquid coordination complexes formed by the heterolytic cleavage of metal halides","type":"article-journal","volume":"52"},"uris":["http://www.mendeley.com/documents/?uuid=7733e068-7906-48e9-aafb-a91f8ae41491"]},{"id":"ITEM-2","itemData":{"DOI":"10.1039/c7dt02408h","ISSN":"14779234","PMID":"28766628","abstract":"Coordination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Transactions","id":"ITEM-2","issue":"35","issued":{"date-parts":[["2017"]]},"page":"11561-11574","publisher":"Royal Society of Chemistry","title":"Liquid coordination complexes of Lewis acidic metal chlorides: Lewis acidity and insights into speciation","type":"article-journal","volume":"46"},"uris":["http://www.mendeley.com/documents/?uuid=7f817de9-86ff-485a-b63a-5768687629d9"]}],"mendeley":{"formattedCitation":"&lt;sup&gt;3,4&lt;/sup&gt;","plainTextFormattedCitation":"3,4","previouslyFormattedCitation":"&lt;sup&gt;3,4&lt;/sup&gt;"},"properties":{"noteIndex":0},"schema":"https://github.com/citation-style-language/schema/raw/master/csl-citation.json"}</w:instrText>
      </w:r>
      <w:r w:rsidRPr="00905DD7">
        <w:rPr>
          <w:lang w:val="en-GB"/>
        </w:rPr>
        <w:fldChar w:fldCharType="separate"/>
      </w:r>
      <w:r w:rsidRPr="00905DD7">
        <w:rPr>
          <w:noProof/>
          <w:vertAlign w:val="superscript"/>
          <w:lang w:val="en-GB"/>
        </w:rPr>
        <w:t>3,4</w:t>
      </w:r>
      <w:r w:rsidRPr="00905DD7">
        <w:rPr>
          <w:lang w:val="en-GB"/>
        </w:rPr>
        <w:fldChar w:fldCharType="end"/>
      </w:r>
      <w:r w:rsidRPr="00905DD7">
        <w:rPr>
          <w:lang w:val="en-GB"/>
        </w:rPr>
        <w:t xml:space="preserve"> LCCs</w:t>
      </w:r>
      <w:r w:rsidR="003656C7">
        <w:rPr>
          <w:lang w:val="en-GB"/>
        </w:rPr>
        <w:t xml:space="preserve"> (</w:t>
      </w:r>
      <w:r w:rsidR="003656C7">
        <w:rPr>
          <w:lang w:val="en-GB"/>
        </w:rPr>
        <w:fldChar w:fldCharType="begin"/>
      </w:r>
      <w:r w:rsidR="003656C7">
        <w:rPr>
          <w:lang w:val="en-GB"/>
        </w:rPr>
        <w:instrText xml:space="preserve"> REF _Ref174351909 \h </w:instrText>
      </w:r>
      <w:r w:rsidR="003656C7">
        <w:rPr>
          <w:lang w:val="en-GB"/>
        </w:rPr>
      </w:r>
      <w:r w:rsidR="003656C7">
        <w:rPr>
          <w:lang w:val="en-GB"/>
        </w:rPr>
        <w:fldChar w:fldCharType="separate"/>
      </w:r>
      <w:r w:rsidR="003656C7">
        <w:t xml:space="preserve">Figure </w:t>
      </w:r>
      <w:r w:rsidR="003656C7">
        <w:rPr>
          <w:noProof/>
        </w:rPr>
        <w:t>1</w:t>
      </w:r>
      <w:r w:rsidR="003656C7">
        <w:rPr>
          <w:lang w:val="en-GB"/>
        </w:rPr>
        <w:fldChar w:fldCharType="end"/>
      </w:r>
      <w:r w:rsidR="003656C7">
        <w:rPr>
          <w:lang w:val="en-GB"/>
        </w:rPr>
        <w:t>b)</w:t>
      </w:r>
      <w:r w:rsidRPr="00905DD7">
        <w:rPr>
          <w:lang w:val="en-GB"/>
        </w:rPr>
        <w:t>, developed as less expensive and more tuneable alternatives to chlorometallate ionic liquids</w:t>
      </w:r>
      <w:r w:rsidR="003656C7">
        <w:rPr>
          <w:lang w:val="en-GB"/>
        </w:rPr>
        <w:t xml:space="preserve"> (</w:t>
      </w:r>
      <w:r w:rsidR="003656C7">
        <w:rPr>
          <w:lang w:val="en-GB"/>
        </w:rPr>
        <w:fldChar w:fldCharType="begin"/>
      </w:r>
      <w:r w:rsidR="003656C7">
        <w:rPr>
          <w:lang w:val="en-GB"/>
        </w:rPr>
        <w:instrText xml:space="preserve"> REF _Ref174351909 \h </w:instrText>
      </w:r>
      <w:r w:rsidR="003656C7">
        <w:rPr>
          <w:lang w:val="en-GB"/>
        </w:rPr>
      </w:r>
      <w:r w:rsidR="003656C7">
        <w:rPr>
          <w:lang w:val="en-GB"/>
        </w:rPr>
        <w:fldChar w:fldCharType="separate"/>
      </w:r>
      <w:r w:rsidR="003656C7">
        <w:t xml:space="preserve">Figure </w:t>
      </w:r>
      <w:r w:rsidR="003656C7">
        <w:rPr>
          <w:noProof/>
        </w:rPr>
        <w:t>1</w:t>
      </w:r>
      <w:r w:rsidR="003656C7">
        <w:rPr>
          <w:lang w:val="en-GB"/>
        </w:rPr>
        <w:fldChar w:fldCharType="end"/>
      </w:r>
      <w:r w:rsidR="003656C7">
        <w:rPr>
          <w:lang w:val="en-GB"/>
        </w:rPr>
        <w:t>a)</w:t>
      </w:r>
      <w:r w:rsidRPr="00905DD7">
        <w:rPr>
          <w:lang w:val="en-GB"/>
        </w:rPr>
        <w:t>, were subsequently demonstrated to be Lewis</w:t>
      </w:r>
      <w:r w:rsidR="00BF6BD9" w:rsidRPr="00905DD7">
        <w:rPr>
          <w:lang w:val="en-GB"/>
        </w:rPr>
        <w:t xml:space="preserve"> acidic catalysts in an array of reactions: oligomerisation of olefins,</w:t>
      </w:r>
      <w:r w:rsidR="00BF6BD9" w:rsidRPr="00905DD7">
        <w:rPr>
          <w:lang w:val="en-GB"/>
        </w:rPr>
        <w:fldChar w:fldCharType="begin" w:fldLock="1"/>
      </w:r>
      <w:r w:rsidR="00BF6BD9" w:rsidRPr="00905DD7">
        <w:rPr>
          <w:lang w:val="en-GB"/>
        </w:rPr>
        <w:instrText>ADDIN CSL_CITATION {"citationItems":[{"id":"ITEM-1","itemData":{"DOI":"10.1039/C4GC02080D","ISSN":"1463-9270","abstract":"Liquid coordination complexes (LCCs) are a new class of liquid Lewis acids, prepared by combining an excess of a metal halide (e.g. GaCl3) with a basic donor molecule (e.g. amides, amines or phosphines). LCCs were used to catalyse oligomerisation of 1-decene to polyalphaolefins (PAOs). Molecular weight distribution and physical properties of the produced oils were compliant with those required for low viscosity synthetic (Group IV) lubricant base oils. Kinematic viscosities at 100 °C of ca. 4 or 6 cSt were obtained, along with viscosity indexes above 120 and pour points below −57 °C. In industry, to achieve similar properties, BF3 gas is used as a catalyst. LCCs are proposed as a safer and economically attractive alternative to BF3 gas for the production of polyalphaolefins.","author":[{"dropping-particle":"","family":"Hogg","given":"James M.","non-dropping-particle":"","parse-names":false,"suffix":""},{"dropping-particle":"","family":"Coleman","given":"Fergal","non-dropping-particle":"","parse-names":false,"suffix":""},{"dropping-particle":"","family":"Ferrer-Ugalde","given":"Albert","non-dropping-particle":"","parse-names":false,"suffix":""},{"dropping-particle":"","family":"Atkins","given":"Martin P.","non-dropping-particle":"","parse-names":false,"suffix":""},{"dropping-particle":"","family":"Swadźba-Kwas̈ny","given":"Małgorzata","non-dropping-particle":"","parse-names":false,"suffix":""}],"container-title":"Green Chemistry","id":"ITEM-1","issue":"3","issued":{"date-parts":[["2015","3","10"]]},"page":"1831-1841","publisher":"The Royal Society of Chemistry","title":"Liquid coordination complexes: a new class of Lewis acids as safer alternatives to BF3 in synthesis of polyalphaolefins","type":"article-journal","volume":"17"},"uris":["http://www.mendeley.com/documents/?uuid=b45c0fc8-be90-342a-b9da-b1b3aac49777"]}],"mendeley":{"formattedCitation":"&lt;sup&gt;5&lt;/sup&gt;","plainTextFormattedCitation":"5","previouslyFormattedCitation":"&lt;sup&gt;5&lt;/sup&gt;"},"properties":{"noteIndex":0},"schema":"https://github.com/citation-style-language/schema/raw/master/csl-citation.json"}</w:instrText>
      </w:r>
      <w:r w:rsidR="00BF6BD9" w:rsidRPr="00905DD7">
        <w:rPr>
          <w:lang w:val="en-GB"/>
        </w:rPr>
        <w:fldChar w:fldCharType="separate"/>
      </w:r>
      <w:r w:rsidR="00BF6BD9" w:rsidRPr="00905DD7">
        <w:rPr>
          <w:noProof/>
          <w:vertAlign w:val="superscript"/>
          <w:lang w:val="en-GB"/>
        </w:rPr>
        <w:t>5</w:t>
      </w:r>
      <w:r w:rsidR="00BF6BD9" w:rsidRPr="00905DD7">
        <w:rPr>
          <w:lang w:val="en-GB"/>
        </w:rPr>
        <w:fldChar w:fldCharType="end"/>
      </w:r>
      <w:r w:rsidR="00BF6BD9" w:rsidRPr="00905DD7">
        <w:rPr>
          <w:lang w:val="en-GB"/>
        </w:rPr>
        <w:t xml:space="preserve"> Diels-Alder cycloaddition,</w:t>
      </w:r>
      <w:r w:rsidR="00BF6BD9" w:rsidRPr="00905DD7">
        <w:rPr>
          <w:lang w:val="en-GB"/>
        </w:rPr>
        <w:fldChar w:fldCharType="begin" w:fldLock="1"/>
      </w:r>
      <w:r w:rsidR="00C9420D" w:rsidRPr="00905DD7">
        <w:rPr>
          <w:lang w:val="en-GB"/>
        </w:rPr>
        <w:instrText>ADDIN CSL_CITATION {"citationItems":[{"id":"ITEM-1","itemData":{"DOI":"10.1039/c7dt02408h","ISSN":"14779234","PMID":"28766628","abstract":"Coordination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Transactions","id":"ITEM-1","issue":"35","issued":{"date-parts":[["2017"]]},"page":"11561-11574","publisher":"Royal Society of Chemistry","title":"Liquid coordination complexes of Lewis acidic metal chlorides: Lewis acidity and insights into speciation","type":"article-journal","volume":"46"},"uris":["http://www.mendeley.com/documents/?uuid=7f817de9-86ff-485a-b63a-5768687629d9"]}],"mendeley":{"formattedCitation":"&lt;sup&gt;4&lt;/sup&gt;","plainTextFormattedCitation":"4","previouslyFormattedCitation":"&lt;sup&gt;4&lt;/sup&gt;"},"properties":{"noteIndex":0},"schema":"https://github.com/citation-style-language/schema/raw/master/csl-citation.json"}</w:instrText>
      </w:r>
      <w:r w:rsidR="00BF6BD9" w:rsidRPr="00905DD7">
        <w:rPr>
          <w:lang w:val="en-GB"/>
        </w:rPr>
        <w:fldChar w:fldCharType="separate"/>
      </w:r>
      <w:r w:rsidR="00BF6BD9" w:rsidRPr="00905DD7">
        <w:rPr>
          <w:noProof/>
          <w:vertAlign w:val="superscript"/>
          <w:lang w:val="en-GB"/>
        </w:rPr>
        <w:t>4</w:t>
      </w:r>
      <w:r w:rsidR="00BF6BD9" w:rsidRPr="00905DD7">
        <w:rPr>
          <w:lang w:val="en-GB"/>
        </w:rPr>
        <w:fldChar w:fldCharType="end"/>
      </w:r>
      <w:r w:rsidR="00BF6BD9" w:rsidRPr="00905DD7">
        <w:rPr>
          <w:lang w:val="en-GB"/>
        </w:rPr>
        <w:t xml:space="preserve"> and Friedel-Crafts alkylation,</w:t>
      </w:r>
      <w:r w:rsidR="00BF6BD9" w:rsidRPr="00905DD7">
        <w:rPr>
          <w:lang w:val="en-GB"/>
        </w:rPr>
        <w:fldChar w:fldCharType="begin" w:fldLock="1"/>
      </w:r>
      <w:r w:rsidR="0083367C" w:rsidRPr="00905DD7">
        <w:rPr>
          <w:lang w:val="en-GB"/>
        </w:rPr>
        <w:instrText>ADDIN CSL_CITATION {"citationItems":[{"id":"ITEM-1","itemData":{"DOI":"10.1039/c5gc00749f","ISSN":"14639270","abstract":"Friedel-Crafts alkylation of benzene with 1-decene was catalysed by a new family of liquid Lewis acids: liquid coordination complexes (LCCs). LCCs are prepared by mixing a metal halide (e.g. GaCl3) and a donor molecule (e.g. N,N-dimethylacetamide, urea, or trioctylphosphine oxide), with the metal halide typically used in excess. This leads to the formation of a eutectic mixture comprised of charged and neutral species in a dynamic equilibrium. GaCl3-based LCCs were used in catalytic amounts, giving high reaction rates under ambient conditions, with selectivities to 2-phenyldecane superior to those previously reported in the literature. The influence of reaction conditions and catalyst composition on the reaction rate and selectivity was investigated. Optimised reaction conditions were suggested. This exploratory study offers promise with regard to the development of safer, LCC-based alternatives to HF in industrial alkylations.","author":[{"dropping-particle":"","family":"Matuszek","given":"Karolina","non-dropping-particle":"","parse-names":false,"suffix":""},{"dropping-particle":"","family":"Chrobok","given":"Anna","non-dropping-particle":"","parse-names":false,"suffix":""},{"dropping-particle":"","family":"Hogg","given":"James M.","non-dropping-particle":"","parse-names":false,"suffix":""},{"dropping-particle":"","family":"Coleman","given":"Fergal","non-dropping-particle":"","parse-names":false,"suffix":""},{"dropping-particle":"","family":"Swadźba-Kwaśny","given":"Małgorzata","non-dropping-particle":"","parse-names":false,"suffix":""}],"container-title":"Green Chemistry","id":"ITEM-1","issue":"8","issued":{"date-parts":[["2015","8","3"]]},"page":"4255-4262","publisher":"The Royal Society of Chemistry","title":"Friedel-Crafts alkylation catalysed by GaCl3-based liquid coordination complexes","type":"article-journal","volume":"17"},"uris":["http://www.mendeley.com/documents/?uuid=7a2b5465-8279-444a-aded-ac2cebb817a4"]}],"mendeley":{"formattedCitation":"&lt;sup&gt;6&lt;/sup&gt;","plainTextFormattedCitation":"6","previouslyFormattedCitation":"&lt;sup&gt;6&lt;/sup&gt;"},"properties":{"noteIndex":0},"schema":"https://github.com/citation-style-language/schema/raw/master/csl-citation.json"}</w:instrText>
      </w:r>
      <w:r w:rsidR="00BF6BD9" w:rsidRPr="00905DD7">
        <w:rPr>
          <w:lang w:val="en-GB"/>
        </w:rPr>
        <w:fldChar w:fldCharType="separate"/>
      </w:r>
      <w:r w:rsidR="00BF6BD9" w:rsidRPr="00905DD7">
        <w:rPr>
          <w:noProof/>
          <w:vertAlign w:val="superscript"/>
          <w:lang w:val="en-GB"/>
        </w:rPr>
        <w:t>6</w:t>
      </w:r>
      <w:r w:rsidR="00BF6BD9" w:rsidRPr="00905DD7">
        <w:rPr>
          <w:lang w:val="en-GB"/>
        </w:rPr>
        <w:fldChar w:fldCharType="end"/>
      </w:r>
      <w:r w:rsidR="00BF6BD9" w:rsidRPr="00905DD7">
        <w:rPr>
          <w:lang w:val="en-GB"/>
        </w:rPr>
        <w:t xml:space="preserve"> as well as co-catalysts in heterogenous catalysis through solid catalysts </w:t>
      </w:r>
      <w:r w:rsidR="00BF6BD9" w:rsidRPr="00905DD7">
        <w:rPr>
          <w:lang w:val="en-GB"/>
        </w:rPr>
        <w:t>with ionic liquid layer (SCILL).</w:t>
      </w:r>
      <w:r w:rsidR="00BF6BD9" w:rsidRPr="00905DD7">
        <w:rPr>
          <w:lang w:val="en-GB"/>
        </w:rPr>
        <w:fldChar w:fldCharType="begin" w:fldLock="1"/>
      </w:r>
      <w:r w:rsidR="00BF6BD9" w:rsidRPr="00905DD7">
        <w:rPr>
          <w:lang w:val="en-GB"/>
        </w:rPr>
        <w:instrText>ADDIN CSL_CITATION {"citationItems":[{"id":"ITEM-1","itemData":{"DOI":"10.1039/C7RA03295A","ISSN":"2046-2069","abstract":"New solid catalysts with ionic liquid layer (SCILLs) were prepared by the coating of heterogeneous Pd/C catalysts with a thin film of acidic liquid: a known chloroaluminate ionic liquid (IL), [BMIM]Cl/AlCl3, and a recently developed liquid coordination complex (LCC), urea/AlCl3. Both coatings improved the activity of Pd/C catalyst against toluene hydrogenation; at lower temperatures (40 °C) the IL-SCILL performed better, whereas at 80 °C the LCC-SCILL gave higher conversion. A thin film of ionic liquid proved to be sufficient to increase activity, while larger volumes of ionic liquid resulted in a decrease in activity due to pore blocking and hence mass transport limitations. Kinetic investigations in batch mode revealed a zero order with respect to toluene concentration, a first order in hydrogen pressure, and activation energy of 64.7 kJ mol−1 for the Pd/C catalyst. The SCILL catalysts had slightly lower values of 53.1 kJ mol−1 for [BMIM]Cl/AlCl3 and 61.4 kJ mol−1 for urea/AlCl3, respectively.","author":[{"dropping-particle":"","family":"Lijewski","given":"Martin","non-dropping-particle":"","parse-names":false,"suffix":""},{"dropping-particle":"","family":"Hogg","given":"James M.","non-dropping-particle":"","parse-names":false,"suffix":""},{"dropping-particle":"","family":"Swadźba-Kwaśny","given":"Małgorzata","non-dropping-particle":"","parse-names":false,"suffix":""},{"dropping-particle":"","family":"Wasserscheid","given":"Peter","non-dropping-particle":"","parse-names":false,"suffix":""},{"dropping-particle":"","family":"Haumann","given":"Marco","non-dropping-particle":"","parse-names":false,"suffix":""}],"container-title":"RSC Advances","id":"ITEM-1","issue":"44","issued":{"date-parts":[["2017","5","22"]]},"page":"27558-27563","publisher":"The Royal Society of Chemistry","title":"Coating of Pd/C catalysts with Lewis-acidic ionic liquids and liquid coordination complexes – SCILL induced activity enhancement in arene hydrogenation","type":"article-journal","volume":"7"},"uris":["http://www.mendeley.com/documents/?uuid=dce6aa22-f846-34e3-8af2-c0a4d2b8358b"]}],"mendeley":{"formattedCitation":"&lt;sup&gt;7&lt;/sup&gt;","plainTextFormattedCitation":"7","previouslyFormattedCitation":"&lt;sup&gt;7&lt;/sup&gt;"},"properties":{"noteIndex":0},"schema":"https://github.com/citation-style-language/schema/raw/master/csl-citation.json"}</w:instrText>
      </w:r>
      <w:r w:rsidR="00BF6BD9" w:rsidRPr="00905DD7">
        <w:rPr>
          <w:lang w:val="en-GB"/>
        </w:rPr>
        <w:fldChar w:fldCharType="separate"/>
      </w:r>
      <w:r w:rsidR="00BF6BD9" w:rsidRPr="00905DD7">
        <w:rPr>
          <w:noProof/>
          <w:vertAlign w:val="superscript"/>
          <w:lang w:val="en-GB"/>
        </w:rPr>
        <w:t>7</w:t>
      </w:r>
      <w:r w:rsidR="00BF6BD9" w:rsidRPr="00905DD7">
        <w:rPr>
          <w:lang w:val="en-GB"/>
        </w:rPr>
        <w:fldChar w:fldCharType="end"/>
      </w:r>
      <w:r w:rsidR="00BF6BD9" w:rsidRPr="00905DD7">
        <w:rPr>
          <w:lang w:val="en-GB"/>
        </w:rPr>
        <w:t xml:space="preserve"> However, most </w:t>
      </w:r>
      <w:r w:rsidR="00245F43">
        <w:rPr>
          <w:lang w:val="en-GB"/>
        </w:rPr>
        <w:t xml:space="preserve">reported </w:t>
      </w:r>
      <w:r w:rsidR="00BF6BD9" w:rsidRPr="00905DD7">
        <w:rPr>
          <w:lang w:val="en-GB"/>
        </w:rPr>
        <w:t>LCCs</w:t>
      </w:r>
      <w:r w:rsidR="00245F43">
        <w:rPr>
          <w:lang w:val="en-GB"/>
        </w:rPr>
        <w:t xml:space="preserve">, like conventional </w:t>
      </w:r>
      <w:r w:rsidR="00BF6BD9" w:rsidRPr="00905DD7">
        <w:rPr>
          <w:lang w:val="en-GB"/>
        </w:rPr>
        <w:t>chlorometallate ionic liquids</w:t>
      </w:r>
      <w:r w:rsidR="00245F43">
        <w:rPr>
          <w:lang w:val="en-GB"/>
        </w:rPr>
        <w:t>,</w:t>
      </w:r>
      <w:r w:rsidR="00BF6BD9" w:rsidRPr="00905DD7">
        <w:rPr>
          <w:lang w:val="en-GB"/>
        </w:rPr>
        <w:t xml:space="preserve"> are highly corrosive due to high chloride content.</w:t>
      </w:r>
    </w:p>
    <w:p w14:paraId="32EAABD8" w14:textId="77777777" w:rsidR="00045868" w:rsidRDefault="00045868" w:rsidP="002F3D0C">
      <w:pPr>
        <w:pStyle w:val="RSCI02FigureSchemeChartwithtopbar"/>
        <w:keepNext/>
        <w:jc w:val="center"/>
      </w:pPr>
      <w:r w:rsidRPr="00045868">
        <w:rPr>
          <w:noProof/>
        </w:rPr>
        <w:drawing>
          <wp:inline distT="0" distB="0" distL="0" distR="0" wp14:anchorId="39C1DB4F" wp14:editId="68DAE412">
            <wp:extent cx="2266950" cy="2457100"/>
            <wp:effectExtent l="0" t="0" r="0" b="0"/>
            <wp:docPr id="158754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4247" name=""/>
                    <pic:cNvPicPr/>
                  </pic:nvPicPr>
                  <pic:blipFill rotWithShape="1">
                    <a:blip r:embed="rId14"/>
                    <a:srcRect b="-2843"/>
                    <a:stretch/>
                  </pic:blipFill>
                  <pic:spPr bwMode="auto">
                    <a:xfrm>
                      <a:off x="0" y="0"/>
                      <a:ext cx="2281749" cy="2473140"/>
                    </a:xfrm>
                    <a:prstGeom prst="rect">
                      <a:avLst/>
                    </a:prstGeom>
                    <a:ln>
                      <a:noFill/>
                    </a:ln>
                    <a:extLst>
                      <a:ext uri="{53640926-AAD7-44D8-BBD7-CCE9431645EC}">
                        <a14:shadowObscured xmlns:a14="http://schemas.microsoft.com/office/drawing/2010/main"/>
                      </a:ext>
                    </a:extLst>
                  </pic:spPr>
                </pic:pic>
              </a:graphicData>
            </a:graphic>
          </wp:inline>
        </w:drawing>
      </w:r>
    </w:p>
    <w:p w14:paraId="0704CFCD" w14:textId="1D086EFF" w:rsidR="00045868" w:rsidRDefault="00045868" w:rsidP="002F3D0C">
      <w:pPr>
        <w:pStyle w:val="RSCI05CaptiontoFigureSchemeChartwithbottombar"/>
      </w:pPr>
      <w:bookmarkStart w:id="2" w:name="_Ref174351909"/>
      <w:r w:rsidRPr="002F3D0C">
        <w:rPr>
          <w:b/>
          <w:bCs w:val="0"/>
        </w:rPr>
        <w:t xml:space="preserve">Figure </w:t>
      </w:r>
      <w:r w:rsidRPr="002F3D0C">
        <w:rPr>
          <w:b/>
          <w:bCs w:val="0"/>
        </w:rPr>
        <w:fldChar w:fldCharType="begin"/>
      </w:r>
      <w:r w:rsidRPr="002F3D0C">
        <w:rPr>
          <w:b/>
          <w:bCs w:val="0"/>
        </w:rPr>
        <w:instrText xml:space="preserve"> SEQ Figure \* ARABIC </w:instrText>
      </w:r>
      <w:r w:rsidRPr="002F3D0C">
        <w:rPr>
          <w:b/>
          <w:bCs w:val="0"/>
        </w:rPr>
        <w:fldChar w:fldCharType="separate"/>
      </w:r>
      <w:r w:rsidR="00B41DAC" w:rsidRPr="002F3D0C">
        <w:rPr>
          <w:b/>
          <w:bCs w:val="0"/>
          <w:noProof/>
        </w:rPr>
        <w:t>1</w:t>
      </w:r>
      <w:r w:rsidRPr="002F3D0C">
        <w:rPr>
          <w:b/>
          <w:bCs w:val="0"/>
        </w:rPr>
        <w:fldChar w:fldCharType="end"/>
      </w:r>
      <w:bookmarkEnd w:id="2"/>
      <w:r>
        <w:t xml:space="preserve">. Examples of structures of metal-containing ionic liquids: a) chlorometallate ionic liquid, b) liquid coordination complex (LCC), c) </w:t>
      </w:r>
      <w:proofErr w:type="spellStart"/>
      <w:r>
        <w:t>trifloaluminate</w:t>
      </w:r>
      <w:proofErr w:type="spellEnd"/>
      <w:r>
        <w:t xml:space="preserve"> ionic liquid and d) solvate ionic liquid.</w:t>
      </w:r>
    </w:p>
    <w:p w14:paraId="290B71A6" w14:textId="76BB1630" w:rsidR="00F161FF" w:rsidRPr="00905DD7" w:rsidRDefault="00F161FF" w:rsidP="00F161FF">
      <w:pPr>
        <w:pStyle w:val="RSCB02ArticleText"/>
        <w:ind w:firstLine="284"/>
        <w:rPr>
          <w:lang w:val="en-GB"/>
        </w:rPr>
      </w:pPr>
      <w:r>
        <w:rPr>
          <w:lang w:val="en-GB"/>
        </w:rPr>
        <w:t>Salts of</w:t>
      </w:r>
      <w:r w:rsidRPr="00562A89">
        <w:rPr>
          <w:lang w:val="en-GB"/>
        </w:rPr>
        <w:t xml:space="preserve"> </w:t>
      </w:r>
      <w:r>
        <w:rPr>
          <w:lang w:val="en-GB"/>
        </w:rPr>
        <w:t xml:space="preserve">Lewis acidic metals </w:t>
      </w:r>
      <w:r w:rsidRPr="00562A89">
        <w:rPr>
          <w:lang w:val="en-GB"/>
        </w:rPr>
        <w:t>(M = Al, Ga, Ln)</w:t>
      </w:r>
      <w:r>
        <w:rPr>
          <w:lang w:val="en-GB"/>
        </w:rPr>
        <w:t xml:space="preserve"> and trifluoromethanesulfonic acid (known as </w:t>
      </w:r>
      <w:r w:rsidRPr="00562A89">
        <w:rPr>
          <w:lang w:val="en-GB"/>
        </w:rPr>
        <w:t xml:space="preserve">triflates, </w:t>
      </w:r>
      <w:proofErr w:type="spellStart"/>
      <w:r w:rsidRPr="00562A89">
        <w:rPr>
          <w:lang w:val="en-GB"/>
        </w:rPr>
        <w:t>OTf</w:t>
      </w:r>
      <w:proofErr w:type="spellEnd"/>
      <w:r w:rsidRPr="00562A89">
        <w:rPr>
          <w:lang w:val="en-GB"/>
        </w:rPr>
        <w:t>)</w:t>
      </w:r>
      <w:r>
        <w:rPr>
          <w:lang w:val="en-GB"/>
        </w:rPr>
        <w:t xml:space="preserve"> are </w:t>
      </w:r>
      <w:r w:rsidRPr="00562A89">
        <w:rPr>
          <w:lang w:val="en-GB"/>
        </w:rPr>
        <w:t>stable in aqueous media</w:t>
      </w:r>
      <w:r>
        <w:rPr>
          <w:lang w:val="en-GB"/>
        </w:rPr>
        <w:t>, chloride-free</w:t>
      </w:r>
      <w:r w:rsidRPr="00562A89">
        <w:rPr>
          <w:lang w:val="en-GB"/>
        </w:rPr>
        <w:t xml:space="preserve"> </w:t>
      </w:r>
      <w:r>
        <w:rPr>
          <w:lang w:val="en-GB"/>
        </w:rPr>
        <w:t xml:space="preserve">and catalytically active at low </w:t>
      </w:r>
      <w:r w:rsidRPr="00EA76DD">
        <w:rPr>
          <w:lang w:val="en-GB"/>
        </w:rPr>
        <w:t>concentrations.</w:t>
      </w:r>
      <w:r w:rsidR="00346A5B" w:rsidRPr="00EA76DD">
        <w:rPr>
          <w:lang w:val="en-GB"/>
        </w:rPr>
        <w:fldChar w:fldCharType="begin" w:fldLock="1"/>
      </w:r>
      <w:r w:rsidR="0026470D" w:rsidRPr="00EA76DD">
        <w:rPr>
          <w:lang w:val="en-GB"/>
        </w:rPr>
        <w:instrText>ADDIN CSL_CITATION {"citationItems":[{"id":"ITEM-1","itemData":{"DOI":"10.1021/cr010289i","ISSN":"00092665","author":[{"dropping-particle":"","family":"Kobayashi","given":"Shu","non-dropping-particle":"","parse-names":false,"suffix":""},{"dropping-particle":"","family":"Sugiura","given":"Masaharu","non-dropping-particle":"","parse-names":false,"suffix":""},{"dropping-particle":"","family":"Kitagawa","given":"Hidetoshi","non-dropping-particle":"","parse-names":false,"suffix":""},{"dropping-particle":"","family":"Lam","given":"William W.L.","non-dropping-particle":"","parse-names":false,"suffix":""}],"container-title":"Chemical Reviews","id":"ITEM-1","issue":"6","issued":{"date-parts":[["2002","6"]]},"page":"2227-2302","publisher":" American Chemical Society ","title":"Rare-earth metal triflates in organic synthesis","type":"article-journal","volume":"102"},"uris":["http://www.mendeley.com/documents/?uuid=f5a8226d-c59f-3564-aacd-e0a7f2a140ee"]},{"id":"ITEM-2","itemData":{"DOI":"10.1002/CPLU.202200037","ISSN":"2192-6506","PMID":"35589529","abstract":"Metal triflates have shown a large variety of possibilities as catalysts in organic reactions. Some selected examples of their catalytic activity, in particular in C−O and C−C bond formation are presented. A better understanding of the mode of interaction between these Lewis acids and organic functional groups as ligands should allow for an easier choice of a tailored metal cation for a given reaction. Electrospray ionization mass spectrometry enables the characterization and the quantification of the donor/acceptor interactions involved in the catalytic processes. Both gas-phase and solution-phase interactions between various metal triflates and organic functionalities were studied. Based on an original probabilistic model, ligand displacement experiments lead us to establish quantitative affinity scales of ligands toward the metal centers. The main structural effects governing the ranking are identified and discussed.","author":[{"dropping-particle":"","family":"Massi","given":"Lionel","non-dropping-particle":"","parse-names":false,"suffix":""},{"dropping-particle":"","family":"Gal","given":"Jean François","non-dropping-particle":"","parse-names":false,"suffix":""},{"dropping-particle":"","family":"Duñach","given":"Elisabet","non-dropping-particle":"","parse-names":false,"suffix":""}],"container-title":"ChemPlusChem","id":"ITEM-2","issue":"6","issued":{"date-parts":[["2022","6","1"]]},"page":"e202200037","publisher":"John Wiley &amp; Sons, Ltd","title":"Metal Triflates as Catalysts in Organic Synthesis: Determination of Their Lewis Acidity by Mass Spectrometry","type":"article-journal","volume":"87"},"uris":["http://www.mendeley.com/documents/?uuid=4ed8464b-30fa-352d-b1bb-cf1a25fb57f0"]}],"mendeley":{"formattedCitation":"&lt;sup&gt;8,9&lt;/sup&gt;","plainTextFormattedCitation":"8,9","previouslyFormattedCitation":"&lt;sup&gt;8,9&lt;/sup&gt;"},"properties":{"noteIndex":0},"schema":"https://github.com/citation-style-language/schema/raw/master/csl-citation.json"}</w:instrText>
      </w:r>
      <w:r w:rsidR="00346A5B" w:rsidRPr="00EA76DD">
        <w:rPr>
          <w:lang w:val="en-GB"/>
        </w:rPr>
        <w:fldChar w:fldCharType="separate"/>
      </w:r>
      <w:r w:rsidR="0026470D" w:rsidRPr="00EA76DD">
        <w:rPr>
          <w:noProof/>
          <w:vertAlign w:val="superscript"/>
          <w:lang w:val="en-GB"/>
        </w:rPr>
        <w:t>8,9</w:t>
      </w:r>
      <w:r w:rsidR="00346A5B" w:rsidRPr="00EA76DD">
        <w:rPr>
          <w:lang w:val="en-GB"/>
        </w:rPr>
        <w:fldChar w:fldCharType="end"/>
      </w:r>
      <w:r w:rsidRPr="00EA76DD">
        <w:rPr>
          <w:lang w:val="en-GB"/>
        </w:rPr>
        <w:t xml:space="preserve"> However, they suffer from poor solubility in most solvents.</w:t>
      </w:r>
      <w:r w:rsidR="0026470D" w:rsidRPr="00EA76DD">
        <w:rPr>
          <w:lang w:val="en-GB"/>
        </w:rPr>
        <w:fldChar w:fldCharType="begin" w:fldLock="1"/>
      </w:r>
      <w:r w:rsidR="0026470D" w:rsidRPr="00EA76DD">
        <w:rPr>
          <w:lang w:val="en-GB"/>
        </w:rPr>
        <w:instrText>ADDIN CSL_CITATION {"citationItems":[{"id":"ITEM-1","itemData":{"DOI":"10.1021/JA00216A032/ASSET/JA00216A032.FP.PNG_V03","ISSN":"15205126","abstract":"Boron, aluminum, and gallium tris(trifluoromethanesulfonate) (triflate) were prepared from the corresponding chlorides (bromides) and triflic acid. The group IIIA triflates were isolated in pure form and fully characterized (elemental analysis, molecular weight, and NMR and IR spectroscopy). Boron tris(triflate) is a monomeric, relatively volatile compound [mp 43–45 °C, bp 68–73 °C (0.5 Torr)], whereas aluminum and gallium triflate are associated, high-melting associated solids. Boron, aluminum, and gallium tris(triflate) are efficient new Friedel-Crafts catalysts as shown in alkylation, isomerization, and acylation reactions. Alkylation of benzene and toluene with methyl, ethyl, isopropyl, and tert-butyl halides (fluoride, chloride, and bromide) were carried out with boron, aluminum, and gallium tris(triflate) as catalyst in CH2Cl2 and CH3NO2solvent at room temperature. Substrate (kT/kB) and positional selectivity (isomer distribution) were determined by GLC. Boron triflate shows the highest catalytic activity followed by gallium and aluminum triflate as reflected by overall yields in the alkylation reactions and tendency of accompanying isomerization, causing substantially increased meta substitution and disproportionation. © 1988, American Chemical Society. All rights reserved.","author":[{"dropping-particle":"","family":"Olah","given":"George A.","non-dropping-particle":"","parse-names":false,"suffix":""},{"dropping-particle":"","family":"Farooq","given":"Omar","non-dropping-particle":"","parse-names":false,"suffix":""},{"dropping-particle":"","family":"Farnia","given":"S. Morteza F.","non-dropping-particle":"","parse-names":false,"suffix":""},{"dropping-particle":"","family":"Olah","given":"Judith A.","non-dropping-particle":"","parse-names":false,"suffix":""}],"container-title":"Journal of the American Chemical Society","id":"ITEM-1","issue":"8","issued":{"date-parts":[["1988"]]},"page":"2560-2565","publisher":" American Chemical Society ","title":"Boron, aluminum, and gallium tris(trifluoromethanesulfonate) (triflate): Effective new friedel-crafts catalysts","type":"article-journal","volume":"110"},"uris":["http://www.mendeley.com/documents/?uuid=dcc4bdd1-6c37-31d1-b108-7bb294bce212"]},{"id":"ITEM-2","itemData":{"DOI":"10.1016/J.TET.2003.12.020","ISSN":"0040-4020","abstract":"The activity of Sc(OTf)3 and La(OTf)3 (OTf=SO 3CF3) as catalysts for the phosgene-free synthesis of carbamate esters via carbomethoxylation of aliphatic amines with dimethylcarbonate (DMC) has been investigated. In the presence of M(OTf) 3 (M=Sc, La), primary and secondary aliphatic amines easily react with dimethylcarbonate, under very mild conditions (20°C), to afford carbamate esters with good yield and excellent selectivity (</w:instrText>
      </w:r>
      <w:r w:rsidR="0026470D" w:rsidRPr="00EA76DD">
        <w:rPr>
          <w:rFonts w:ascii="Cambria Math" w:hAnsi="Cambria Math" w:cs="Cambria Math"/>
          <w:lang w:val="en-GB"/>
        </w:rPr>
        <w:instrText>≅</w:instrText>
      </w:r>
      <w:r w:rsidR="0026470D" w:rsidRPr="00EA76DD">
        <w:rPr>
          <w:lang w:val="en-GB"/>
        </w:rPr>
        <w:instrText>100%). Sc(OTf)3 is a more effective catalyst than the homologue La salt. The carbomethoxylation reaction requires as strict anhydrous conditions, as, at 20</w:instrText>
      </w:r>
      <w:r w:rsidR="0026470D" w:rsidRPr="00EA76DD">
        <w:rPr>
          <w:rFonts w:ascii="Calibri" w:hAnsi="Calibri" w:cs="Calibri"/>
          <w:lang w:val="en-GB"/>
        </w:rPr>
        <w:instrText>°</w:instrText>
      </w:r>
      <w:r w:rsidR="0026470D" w:rsidRPr="00EA76DD">
        <w:rPr>
          <w:lang w:val="en-GB"/>
        </w:rPr>
        <w:instrText>C, the presence of water inhibits markedly the catalytic activity of both triflate salts. Temperature influences carbamate selectivity, which is lower at higher temperature because of deleterious formation of N-methylation side-products. © 2004 Elsevier Ltd. All rights reserved.","author":[{"dropping-particle":"","family":"Distaso","given":"Monica","non-dropping-particle":"","parse-names":false,"suffix":""},{"dropping-particle":"","family":"Quaranta","given":"Eugenio","non-dropping-particle":"","parse-names":false,"suffix":""}],"container-title":"Tetrahedron","id":"ITEM-2","issue":"7","issued":{"date-parts":[["2004","2","9"]]},"page":"1531-1539","publisher":"Pergamon","title":"Group 3 metal (Sc, La) triflates as catalysts for the carbomethoxylation of aliphatic amines with dimethylcarbonate under mild conditions","type":"article-journal","volume":"60"},"uris":["http://www.mendeley.com/documents/?uuid=7227a272-98c2-392b-9063-c92ef094c9e2"]}],"mendeley":{"formattedCitation":"&lt;sup&gt;10,11&lt;/sup&gt;","plainTextFormattedCitation":"10,11","previouslyFormattedCitation":"&lt;sup&gt;10,11&lt;/sup&gt;"},"properties":{"noteIndex":0},"schema":"https://github.com/citation-style-language/schema/raw/master/csl-citation.json"}</w:instrText>
      </w:r>
      <w:r w:rsidR="0026470D" w:rsidRPr="00EA76DD">
        <w:rPr>
          <w:lang w:val="en-GB"/>
        </w:rPr>
        <w:fldChar w:fldCharType="separate"/>
      </w:r>
      <w:r w:rsidR="0026470D" w:rsidRPr="00EA76DD">
        <w:rPr>
          <w:noProof/>
          <w:vertAlign w:val="superscript"/>
          <w:lang w:val="en-GB"/>
        </w:rPr>
        <w:t>10,11</w:t>
      </w:r>
      <w:r w:rsidR="0026470D" w:rsidRPr="00EA76DD">
        <w:rPr>
          <w:lang w:val="en-GB"/>
        </w:rPr>
        <w:fldChar w:fldCharType="end"/>
      </w:r>
      <w:r w:rsidRPr="00EA76DD">
        <w:rPr>
          <w:lang w:val="en-GB"/>
        </w:rPr>
        <w:t xml:space="preserve"> In attempt to enhance their solubility, we have developed </w:t>
      </w:r>
      <w:proofErr w:type="spellStart"/>
      <w:r w:rsidRPr="00EA76DD">
        <w:rPr>
          <w:lang w:val="en-GB"/>
        </w:rPr>
        <w:t>triflometallate</w:t>
      </w:r>
      <w:proofErr w:type="spellEnd"/>
      <w:r w:rsidRPr="00EA76DD">
        <w:rPr>
          <w:lang w:val="en-GB"/>
        </w:rPr>
        <w:t xml:space="preserve"> ionic liquids, </w:t>
      </w:r>
      <w:r w:rsidR="003656C7" w:rsidRPr="00EA76DD">
        <w:rPr>
          <w:lang w:val="en-GB"/>
        </w:rPr>
        <w:t>synthesised by the reaction of</w:t>
      </w:r>
      <w:r w:rsidRPr="00EA76DD">
        <w:rPr>
          <w:lang w:val="en-GB"/>
        </w:rPr>
        <w:t xml:space="preserve"> triflate ionic liquids</w:t>
      </w:r>
      <w:r w:rsidR="003656C7" w:rsidRPr="00EA76DD">
        <w:rPr>
          <w:lang w:val="en-GB"/>
        </w:rPr>
        <w:t xml:space="preserve"> </w:t>
      </w:r>
      <w:r w:rsidRPr="00EA76DD">
        <w:rPr>
          <w:lang w:val="en-GB"/>
        </w:rPr>
        <w:t>and Group 13 triflates</w:t>
      </w:r>
      <w:r w:rsidR="003656C7" w:rsidRPr="00EA76DD">
        <w:rPr>
          <w:lang w:val="en-GB"/>
        </w:rPr>
        <w:t xml:space="preserve"> (</w:t>
      </w:r>
      <w:r w:rsidR="003656C7" w:rsidRPr="00EA76DD">
        <w:rPr>
          <w:lang w:val="en-GB"/>
        </w:rPr>
        <w:fldChar w:fldCharType="begin"/>
      </w:r>
      <w:r w:rsidR="003656C7" w:rsidRPr="00EA76DD">
        <w:rPr>
          <w:lang w:val="en-GB"/>
        </w:rPr>
        <w:instrText xml:space="preserve"> REF _Ref174351909 \h </w:instrText>
      </w:r>
      <w:r w:rsidR="00EA76DD">
        <w:rPr>
          <w:lang w:val="en-GB"/>
        </w:rPr>
        <w:instrText xml:space="preserve"> \* MERGEFORMAT </w:instrText>
      </w:r>
      <w:r w:rsidR="003656C7" w:rsidRPr="00EA76DD">
        <w:rPr>
          <w:lang w:val="en-GB"/>
        </w:rPr>
      </w:r>
      <w:r w:rsidR="003656C7" w:rsidRPr="00EA76DD">
        <w:rPr>
          <w:lang w:val="en-GB"/>
        </w:rPr>
        <w:fldChar w:fldCharType="separate"/>
      </w:r>
      <w:r w:rsidR="003656C7" w:rsidRPr="00EA76DD">
        <w:t xml:space="preserve">Figure </w:t>
      </w:r>
      <w:r w:rsidR="003656C7" w:rsidRPr="00EA76DD">
        <w:rPr>
          <w:noProof/>
        </w:rPr>
        <w:t>1</w:t>
      </w:r>
      <w:r w:rsidR="003656C7" w:rsidRPr="00EA76DD">
        <w:rPr>
          <w:lang w:val="en-GB"/>
        </w:rPr>
        <w:fldChar w:fldCharType="end"/>
      </w:r>
      <w:r w:rsidR="003656C7" w:rsidRPr="00EA76DD">
        <w:rPr>
          <w:lang w:val="en-GB"/>
        </w:rPr>
        <w:t>c)</w:t>
      </w:r>
      <w:r w:rsidRPr="00EA76DD">
        <w:rPr>
          <w:lang w:val="en-GB"/>
        </w:rPr>
        <w:t>.</w:t>
      </w:r>
      <w:r w:rsidR="00FA2DEF" w:rsidRPr="00EA76DD">
        <w:rPr>
          <w:lang w:val="en-GB"/>
        </w:rPr>
        <w:fldChar w:fldCharType="begin" w:fldLock="1"/>
      </w:r>
      <w:r w:rsidR="0026470D" w:rsidRPr="00EA76D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12&lt;/sup&gt;","plainTextFormattedCitation":"12","previouslyFormattedCitation":"&lt;sup&gt;12&lt;/sup&gt;"},"properties":{"noteIndex":0},"schema":"https://github.com/citation-style-language/schema/raw/master/csl-citation.json"}</w:instrText>
      </w:r>
      <w:r w:rsidR="00FA2DEF" w:rsidRPr="00EA76DD">
        <w:rPr>
          <w:lang w:val="en-GB"/>
        </w:rPr>
        <w:fldChar w:fldCharType="separate"/>
      </w:r>
      <w:r w:rsidR="0026470D" w:rsidRPr="00EA76DD">
        <w:rPr>
          <w:noProof/>
          <w:vertAlign w:val="superscript"/>
          <w:lang w:val="en-GB"/>
        </w:rPr>
        <w:t>12</w:t>
      </w:r>
      <w:r w:rsidR="00FA2DEF" w:rsidRPr="00EA76DD">
        <w:rPr>
          <w:lang w:val="en-GB"/>
        </w:rPr>
        <w:fldChar w:fldCharType="end"/>
      </w:r>
      <w:r w:rsidRPr="00EA76DD">
        <w:rPr>
          <w:lang w:val="en-GB"/>
        </w:rPr>
        <w:t xml:space="preserve"> While</w:t>
      </w:r>
      <w:r>
        <w:rPr>
          <w:lang w:val="en-GB"/>
        </w:rPr>
        <w:t xml:space="preserve"> catalytically active, these ILs were </w:t>
      </w:r>
      <w:r>
        <w:rPr>
          <w:lang w:val="en-GB"/>
        </w:rPr>
        <w:lastRenderedPageBreak/>
        <w:t>extremely viscous and very expensive. Seeking further alternatives, we have decided to explore the concept of solvate ionic liquids (SILs).</w:t>
      </w:r>
    </w:p>
    <w:p w14:paraId="4BF56C79" w14:textId="0A06AC38" w:rsidR="00BF6BD9" w:rsidRPr="00905DD7" w:rsidRDefault="00BF6BD9" w:rsidP="002F3D0C">
      <w:pPr>
        <w:pStyle w:val="RSCB02ArticleText"/>
        <w:ind w:firstLine="284"/>
        <w:rPr>
          <w:lang w:val="en-GB"/>
        </w:rPr>
      </w:pPr>
      <w:r w:rsidRPr="00905DD7">
        <w:rPr>
          <w:lang w:val="en-GB"/>
        </w:rPr>
        <w:t>Watanabe and co-workers developed SILs,</w:t>
      </w:r>
      <w:r w:rsidRPr="00905DD7">
        <w:rPr>
          <w:lang w:val="en-GB"/>
        </w:rPr>
        <w:fldChar w:fldCharType="begin" w:fldLock="1"/>
      </w:r>
      <w:r w:rsidR="0026470D">
        <w:rPr>
          <w:lang w:val="en-GB"/>
        </w:rPr>
        <w:instrText>ADDIN CSL_CITATION {"citationItems":[{"id":"ITEM-1","itemData":{"DOI":"10.1016/J.JPOWSOUR.2009.11.061","ISSN":"0378-7753","abstract":"New glyme-Li salt complexes were prepared by mixing equimolar amounts of a novel cyclic imide lithium salt LiN(C2F4S2O4) (LiCTFSI) and a glyme (triglyme (G3) or tetraglyme (G4)). The glyme-Li salt complexes, [Li(G3)][CTFSI] and [Li(G4)][CTFSI], are solid and liquid, respectively, at room temperature. The thermal stability of [Li(G4)][CTFSI] is much higher than that of pure G4, and the vapor pressure of [Li(G4)][CTFSI] is negligible at temperatures lower than 100 °C. Although the viscosity of [Li(G4)][CTFSI] is high (132.0 mPa s at 30 °C), because of its high molar concentration (ca. 3 mol dm-3), its ionic conductivity at 30 °C is relatively high, i.e., 0.8 mS cm-1, which is slightly lower than that of a conventional organic electrolyte solution (1 mol dm-3 LiTFSI dissolved in propylene carbonate). The self-diffusion coefficients of a Li+ cation, a CTFSI- anion, and a glyme molecule were measured by the pulsed gradient spin-echo NMR method (PGSE-NMR). The ionicity (dissociativity) of [Li(G4)][CTFSI] at 30 °C is ca. 0.5, as estimated from the PGSE-NMR diffusivity measurements and the ionic conductivity measurements. Results of linear sweep voltammetry revealed that [Li(G4)][CTFSI] is electrochemically stable in an electrode potential range of 0-4.5 V vs. Li/Li+. The reversible deposition-stripping behavior of lithium was observed by cyclic voltammetry. The [LiCoO2|[Li(G4)][CTFSI]|Li metal] cell showed a stable charge-discharge cycling behavior during 50 cycles, indicating that the [Li(G4)][CTFSI] complex is applicable to a 4 V class lithium secondary battery. © 2009 Elsevier B.V. All rights reserved.","author":[{"dropping-particle":"","family":"Tamura","given":"Takashi","non-dropping-particle":"","parse-names":false,"suffix":""},{"dropping-particle":"","family":"Hachida","given":"Takeshi","non-dropping-particle":"","parse-names":false,"suffix":""},{"dropping-particle":"","family":"Yoshida","given":"Kazuki","non-dropping-particle":"","parse-names":false,"suffix":""},{"dropping-particle":"","family":"Tachikawa","given":"Naoki","non-dropping-particle":"","parse-names":false,"suffix":""},{"dropping-particle":"","family":"Dokko","given":"Kaoru","non-dropping-particle":"","parse-names":false,"suffix":""},{"dropping-particle":"","family":"Watanabe","given":"Masayoshi","non-dropping-particle":"","parse-names":false,"suffix":""}],"container-title":"Journal of Power Sources","id":"ITEM-1","issue":"18","issued":{"date-parts":[["2010","9","15"]]},"page":"6095-6100","publisher":"Elsevier","title":"New glyme–cyclic imide lithium salt complexes as thermally stable electrolytes for lithium batteries","type":"article-journal","volume":"195"},"uris":["http://www.mendeley.com/documents/?uuid=989994c7-3736-312c-b567-abeaab677a15"]},{"id":"ITEM-2","itemData":{"DOI":"10.1039/c4cp00461b","ISSN":"14639076","abstract":"Certain concentrated mixtures of salts and solvents are not simply \"solutions\" anymore, but they may be described as \"ionic liquids\". In this perspective paper, we describe possible criteria for the new family of ionic liquids: \"solvate\" ionic liquids. This subclass of ionic liquids was originally proposed by Angell et al. in their recent review; however, their criteria remain to be debated. Concentrated mixtures of lithium salts and organic solvents are useful models for these solvate ionic liquids, and the effects of the salt concentration, types of solvents, and counter anions of the lithium salts on their structure and properties have been explored to enable contrast with traditional solutions, and to help determine whether a given mixture belongs to the solvate ionic liquid or not. This journal is © the Partner Organisations 2014.","author":[{"dropping-particle":"","family":"Mandai","given":"Toshihiko","non-dropping-particle":"","parse-names":false,"suffix":""},{"dropping-particle":"","family":"Yoshida","given":"Kazuki","non-dropping-particle":"","parse-names":false,"suffix":""},{"dropping-particle":"","family":"Ueno","given":"Kazuhide","non-dropping-particle":"","parse-names":false,"suffix":""},{"dropping-particle":"","family":"Dokko","given":"Kaoru","non-dropping-particle":"","parse-names":false,"suffix":""},{"dropping-particle":"","family":"Watanabe","given":"Masayoshi","non-dropping-particle":"","parse-names":false,"suffix":""}],"container-title":"Physical Chemistry Chemical Physics","id":"ITEM-2","issue":"19","issued":{"date-parts":[["2014","5","21"]]},"page":"8761-8772","publisher":"Royal Society of Chemistry","title":"Criteria for solvate ionic liquids","type":"article-journal","volume":"16"},"uris":["http://www.mendeley.com/documents/?uuid=f44a1479-5af4-46a0-bc26-a65b0bb5f823"]},{"id":"ITEM-3","itemData":{"DOI":"10.1021/jp508100s","ISSN":"15205207","abstract":"A series of binary mixtures composed of glymes (triglyme, G3; tetraglyme, G4; pentaglyme, G5) and alkali-metal bis(trifluoromethanesulfonyl)amide salts (M[TFSA]; M = Li, Na, and K) were prepared, and the correlation between the composition and solvate stability was systematically investigated. Their phase diagrams and Raman spectra suggested complexation of the glymes with M[TFSA] in 1:1 and/or 2:1 molar ratio(s). From isothermal stability measurements, it was found that the formation of structurally stable complexes in the solid state did not necessarily ensure their thermal stability in the liquid state, especially in the case of 2:1 complexes, where uncoordinating or highly exchangeable glyme ligands existed in the molten complexes. The phase-state-dependent Raman spectra also supported the presence of free glymes in certain liquid complexes. The effect of the electric field induced by the alkali-metal cations on the oxidative stability of certain glyme complexes was examined by linear sweep voltammetry and quantum chemical calculations. Although the actual oxidative stability of complexes did not necessarily reflect the calculated HOMO energy levels of the glymes, the strong electric field induced by the smaller M+ cations and proper coordination structures impart high stability to the glyme complexes. The results of thermogravimetry of complexes with different M+ cations revealed that a balance of competitive interactions of the M+ ions with the glymes and [TFSA]- anions predominates the thermal stability. (Chemical Equation Presented).","author":[{"dropping-particle":"","family":"Mandai","given":"Toshihiko","non-dropping-particle":"","parse-names":false,"suffix":""},{"dropping-particle":"","family":"Yoshida","given":"Kazuki","non-dropping-particle":"","parse-names":false,"suffix":""},{"dropping-particle":"","family":"Tsuzuki","given":"Seiji","non-dropping-particle":"","parse-names":false,"suffix":""},{"dropping-particle":"","family":"Nozawa","given":"Risa","non-dropping-particle":"","parse-names":false,"suffix":""},{"dropping-particle":"","family":"Masu","given":"Hyuma","non-dropping-particle":"","parse-names":false,"suffix":""},{"dropping-particle":"","family":"Ueno","given":"Kazuhide","non-dropping-particle":"","parse-names":false,"suffix":""},{"dropping-particle":"","family":"Dokko","given":"Kaoru","non-dropping-particle":"","parse-names":false,"suffix":""},{"dropping-particle":"","family":"Watanabe","given":"Masayoshi","non-dropping-particle":"","parse-names":false,"suffix":""}],"container-title":"Journal of Physical Chemistry B","id":"ITEM-3","issue":"4","issued":{"date-parts":[["2015","1","29"]]},"page":"1523-1534","publisher":"American Chemical Society","title":"Effect of ionic size on solvate stability of glyme-based solvate ionic liquids","type":"article-journal","volume":"119"},"uris":["http://www.mendeley.com/documents/?uuid=bc212e46-2ec3-4b8a-8efd-1f5ff77ad100"]},{"id":"ITEM-4","itemData":{"DOI":"10.1246/cl.2010.753","ISSN":"03667022","abstract":"Certain glyme-Li salt complexes, which are composed of equimolar mixtures of a glyme and a Li salt, are liquid under ambient conditions with physicochemical properties such as high thermal stability, wide potential window, high ionic conductivity, and high Li+ transference number and can be regarded as a new family of room-temperature ionic liquids. © 2010 The Chemical Society of Japan.","author":[{"dropping-particle":"","family":"Tamura","given":"Takashi","non-dropping-particle":"","parse-names":false,"suffix":""},{"dropping-particle":"","family":"Yoshida","given":"Kazuki","non-dropping-particle":"","parse-names":false,"suffix":""},{"dropping-particle":"","family":"Hachida","given":"Takeshi","non-dropping-particle":"","parse-names":false,"suffix":""},{"dropping-particle":"","family":"Tsuchiya","given":"Mizuho","non-dropping-particle":"","parse-names":false,"suffix":""},{"dropping-particle":"","family":"Nakamura","given":"Megumi","non-dropping-particle":"","parse-names":false,"suffix":""},{"dropping-particle":"","family":"Kazue","given":"Yuichi","non-dropping-particle":"","parse-names":false,"suffix":""},{"dropping-particle":"","family":"Tachikawa","given":"Naoki","non-dropping-particle":"","parse-names":false,"suffix":""},{"dropping-particle":"","family":"Dokko","given":"Kaoru","non-dropping-particle":"","parse-names":false,"suffix":""},{"dropping-particle":"","family":"Watanabe","given":"Masayoshi","non-dropping-particle":"","parse-names":false,"suffix":""}],"container-title":"Chemistry Letters","id":"ITEM-4","issue":"7","issued":{"date-parts":[["2010"]]},"page":"753-755","title":"Physicochemical properties of glyme-Li salt complexes as a new family of room-temperature ionic liquids","type":"article-journal","volume":"39"},"uris":["http://www.mendeley.com/documents/?uuid=65695481-1e5e-487d-9188-acea4832243d"]}],"mendeley":{"formattedCitation":"&lt;sup&gt;13–16&lt;/sup&gt;","plainTextFormattedCitation":"13–16","previouslyFormattedCitation":"&lt;sup&gt;13–16&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13–16</w:t>
      </w:r>
      <w:r w:rsidRPr="00905DD7">
        <w:rPr>
          <w:lang w:val="en-GB"/>
        </w:rPr>
        <w:fldChar w:fldCharType="end"/>
      </w:r>
      <w:r w:rsidRPr="00905DD7">
        <w:rPr>
          <w:lang w:val="en-GB"/>
        </w:rPr>
        <w:t xml:space="preserve"> exemplified by equimolar mixtures of Li[NTf</w:t>
      </w:r>
      <w:r w:rsidRPr="00905DD7">
        <w:rPr>
          <w:vertAlign w:val="subscript"/>
          <w:lang w:val="en-GB"/>
        </w:rPr>
        <w:t>2</w:t>
      </w:r>
      <w:r w:rsidRPr="00905DD7">
        <w:rPr>
          <w:lang w:val="en-GB"/>
        </w:rPr>
        <w:t xml:space="preserve">] and triglyme (G3), or </w:t>
      </w:r>
      <w:proofErr w:type="spellStart"/>
      <w:r w:rsidRPr="00905DD7">
        <w:rPr>
          <w:lang w:val="en-GB"/>
        </w:rPr>
        <w:t>tetraglyme</w:t>
      </w:r>
      <w:proofErr w:type="spellEnd"/>
      <w:r w:rsidRPr="00905DD7">
        <w:rPr>
          <w:lang w:val="en-GB"/>
        </w:rPr>
        <w:t xml:space="preserve"> (G4), </w:t>
      </w:r>
      <w:r w:rsidR="00F161FF">
        <w:rPr>
          <w:lang w:val="en-GB"/>
        </w:rPr>
        <w:t>for energy storage applications</w:t>
      </w:r>
      <w:r w:rsidR="003656C7">
        <w:rPr>
          <w:lang w:val="en-GB"/>
        </w:rPr>
        <w:t xml:space="preserve"> </w:t>
      </w:r>
      <w:r w:rsidR="000C0F4F">
        <w:rPr>
          <w:lang w:val="en-GB"/>
        </w:rPr>
        <w:t xml:space="preserve"> </w:t>
      </w:r>
      <w:r w:rsidR="003656C7">
        <w:rPr>
          <w:lang w:val="en-GB"/>
        </w:rPr>
        <w:t>(</w:t>
      </w:r>
      <w:r w:rsidR="003656C7">
        <w:rPr>
          <w:lang w:val="en-GB"/>
        </w:rPr>
        <w:fldChar w:fldCharType="begin"/>
      </w:r>
      <w:r w:rsidR="003656C7">
        <w:rPr>
          <w:lang w:val="en-GB"/>
        </w:rPr>
        <w:instrText xml:space="preserve"> REF _Ref174351909 \h </w:instrText>
      </w:r>
      <w:r w:rsidR="003656C7">
        <w:rPr>
          <w:lang w:val="en-GB"/>
        </w:rPr>
      </w:r>
      <w:r w:rsidR="003656C7">
        <w:rPr>
          <w:lang w:val="en-GB"/>
        </w:rPr>
        <w:fldChar w:fldCharType="separate"/>
      </w:r>
      <w:r w:rsidR="003656C7">
        <w:t xml:space="preserve">Figure </w:t>
      </w:r>
      <w:r w:rsidR="003656C7">
        <w:rPr>
          <w:noProof/>
        </w:rPr>
        <w:t>1</w:t>
      </w:r>
      <w:r w:rsidR="003656C7">
        <w:rPr>
          <w:lang w:val="en-GB"/>
        </w:rPr>
        <w:fldChar w:fldCharType="end"/>
      </w:r>
      <w:r w:rsidR="003656C7">
        <w:rPr>
          <w:lang w:val="en-GB"/>
        </w:rPr>
        <w:t>d)</w:t>
      </w:r>
      <w:r w:rsidRPr="00905DD7">
        <w:rPr>
          <w:lang w:val="en-GB"/>
        </w:rPr>
        <w:t xml:space="preserve">. Mandai </w:t>
      </w:r>
      <w:r w:rsidRPr="00905DD7">
        <w:rPr>
          <w:i/>
          <w:iCs/>
          <w:lang w:val="en-GB"/>
        </w:rPr>
        <w:t>et al</w:t>
      </w:r>
      <w:r w:rsidRPr="00905DD7">
        <w:rPr>
          <w:lang w:val="en-GB"/>
        </w:rPr>
        <w:t>.</w:t>
      </w:r>
      <w:r w:rsidRPr="00905DD7">
        <w:rPr>
          <w:lang w:val="en-GB"/>
        </w:rPr>
        <w:fldChar w:fldCharType="begin" w:fldLock="1"/>
      </w:r>
      <w:r w:rsidR="0026470D">
        <w:rPr>
          <w:lang w:val="en-GB"/>
        </w:rPr>
        <w:instrText>ADDIN CSL_CITATION {"citationItems":[{"id":"ITEM-1","itemData":{"DOI":"10.1039/c4cp00461b","ISSN":"14639076","abstract":"Certain concentrated mixtures of salts and solvents are not simply \"solutions\" anymore, but they may be described as \"ionic liquids\". In this perspective paper, we describe possible criteria for the new family of ionic liquids: \"solvate\" ionic liquids. This subclass of ionic liquids was originally proposed by Angell et al. in their recent review; however, their criteria remain to be debated. Concentrated mixtures of lithium salts and organic solvents are useful models for these solvate ionic liquids, and the effects of the salt concentration, types of solvents, and counter anions of the lithium salts on their structure and properties have been explored to enable contrast with traditional solutions, and to help determine whether a given mixture belongs to the solvate ionic liquid or not. This journal is © the Partner Organisations 2014.","author":[{"dropping-particle":"","family":"Mandai","given":"Toshihiko","non-dropping-particle":"","parse-names":false,"suffix":""},{"dropping-particle":"","family":"Yoshida","given":"Kazuki","non-dropping-particle":"","parse-names":false,"suffix":""},{"dropping-particle":"","family":"Ueno","given":"Kazuhide","non-dropping-particle":"","parse-names":false,"suffix":""},{"dropping-particle":"","family":"Dokko","given":"Kaoru","non-dropping-particle":"","parse-names":false,"suffix":""},{"dropping-particle":"","family":"Watanabe","given":"Masayoshi","non-dropping-particle":"","parse-names":false,"suffix":""}],"container-title":"Physical Chemistry Chemical Physics","id":"ITEM-1","issue":"19","issued":{"date-parts":[["2014","5","21"]]},"page":"8761-8772","publisher":"Royal Society of Chemistry","title":"Criteria for solvate ionic liquids","type":"article-journal","volume":"16"},"uris":["http://www.mendeley.com/documents/?uuid=f44a1479-5af4-46a0-bc26-a65b0bb5f823"]}],"mendeley":{"formattedCitation":"&lt;sup&gt;14&lt;/sup&gt;","plainTextFormattedCitation":"14","previouslyFormattedCitation":"&lt;sup&gt;14&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14</w:t>
      </w:r>
      <w:r w:rsidRPr="00905DD7">
        <w:rPr>
          <w:lang w:val="en-GB"/>
        </w:rPr>
        <w:fldChar w:fldCharType="end"/>
      </w:r>
      <w:r w:rsidRPr="00905DD7">
        <w:rPr>
          <w:lang w:val="en-GB"/>
        </w:rPr>
        <w:t xml:space="preserve"> provided formalised criteria for </w:t>
      </w:r>
      <w:r w:rsidR="00F161FF" w:rsidRPr="00905DD7">
        <w:rPr>
          <w:lang w:val="en-GB"/>
        </w:rPr>
        <w:t xml:space="preserve">“good” </w:t>
      </w:r>
      <w:r w:rsidRPr="00905DD7">
        <w:rPr>
          <w:lang w:val="en-GB"/>
        </w:rPr>
        <w:t>SIL</w:t>
      </w:r>
      <w:r w:rsidR="00F161FF">
        <w:rPr>
          <w:lang w:val="en-GB"/>
        </w:rPr>
        <w:t>s,</w:t>
      </w:r>
      <w:r w:rsidRPr="00905DD7">
        <w:rPr>
          <w:lang w:val="en-GB"/>
        </w:rPr>
        <w:t xml:space="preserve"> combin</w:t>
      </w:r>
      <w:r w:rsidR="00F161FF">
        <w:rPr>
          <w:lang w:val="en-GB"/>
        </w:rPr>
        <w:t>ing</w:t>
      </w:r>
      <w:r w:rsidRPr="00905DD7">
        <w:rPr>
          <w:lang w:val="en-GB"/>
        </w:rPr>
        <w:t xml:space="preserve"> </w:t>
      </w:r>
      <w:r w:rsidR="00245F43">
        <w:rPr>
          <w:lang w:val="en-GB"/>
        </w:rPr>
        <w:t xml:space="preserve">flexible </w:t>
      </w:r>
      <w:r w:rsidRPr="00905DD7">
        <w:rPr>
          <w:lang w:val="en-GB"/>
        </w:rPr>
        <w:t>polydentate ligands</w:t>
      </w:r>
      <w:r w:rsidR="000C0F4F">
        <w:rPr>
          <w:lang w:val="en-GB"/>
        </w:rPr>
        <w:t>,</w:t>
      </w:r>
      <w:r w:rsidR="00245F43">
        <w:rPr>
          <w:lang w:val="en-GB"/>
        </w:rPr>
        <w:t xml:space="preserve"> solvating a metal (typically from Group 1 or 2)</w:t>
      </w:r>
      <w:r w:rsidR="000C0F4F">
        <w:rPr>
          <w:lang w:val="en-GB"/>
        </w:rPr>
        <w:t>,</w:t>
      </w:r>
      <w:r w:rsidR="00245F43">
        <w:rPr>
          <w:lang w:val="en-GB"/>
        </w:rPr>
        <w:t xml:space="preserve"> and</w:t>
      </w:r>
      <w:r w:rsidRPr="00905DD7">
        <w:rPr>
          <w:lang w:val="en-GB"/>
        </w:rPr>
        <w:t xml:space="preserve"> weakly basic anions, such as</w:t>
      </w:r>
      <w:r w:rsidR="00245F43">
        <w:rPr>
          <w:lang w:val="en-GB"/>
        </w:rPr>
        <w:t xml:space="preserve"> </w:t>
      </w:r>
      <w:r w:rsidRPr="00905DD7">
        <w:rPr>
          <w:lang w:val="en-GB"/>
        </w:rPr>
        <w:t>bis(</w:t>
      </w:r>
      <w:proofErr w:type="spellStart"/>
      <w:r w:rsidRPr="00905DD7">
        <w:rPr>
          <w:lang w:val="en-GB"/>
        </w:rPr>
        <w:t>trifluoromethanesulfonate</w:t>
      </w:r>
      <w:proofErr w:type="spellEnd"/>
      <w:r w:rsidRPr="00905DD7">
        <w:rPr>
          <w:lang w:val="en-GB"/>
        </w:rPr>
        <w:t>)imide, [NTf</w:t>
      </w:r>
      <w:r w:rsidRPr="00905DD7">
        <w:rPr>
          <w:vertAlign w:val="subscript"/>
          <w:lang w:val="en-GB"/>
        </w:rPr>
        <w:t>2</w:t>
      </w:r>
      <w:r w:rsidRPr="00905DD7">
        <w:rPr>
          <w:lang w:val="en-GB"/>
        </w:rPr>
        <w:t>]</w:t>
      </w:r>
      <w:r w:rsidRPr="00905DD7">
        <w:rPr>
          <w:vertAlign w:val="superscript"/>
          <w:lang w:val="en-GB"/>
        </w:rPr>
        <w:t>-</w:t>
      </w:r>
      <w:r w:rsidRPr="00905DD7">
        <w:rPr>
          <w:lang w:val="en-GB"/>
        </w:rPr>
        <w:t xml:space="preserve">. These design principles </w:t>
      </w:r>
      <w:r w:rsidR="000C0F4F">
        <w:rPr>
          <w:lang w:val="en-GB"/>
        </w:rPr>
        <w:t>yield</w:t>
      </w:r>
      <w:r w:rsidR="000C0F4F" w:rsidRPr="00905DD7">
        <w:rPr>
          <w:lang w:val="en-GB"/>
        </w:rPr>
        <w:t xml:space="preserve"> </w:t>
      </w:r>
      <w:r w:rsidRPr="00905DD7">
        <w:rPr>
          <w:lang w:val="en-GB"/>
        </w:rPr>
        <w:t xml:space="preserve">long-lived robust cations, </w:t>
      </w:r>
      <w:r w:rsidR="00245F43">
        <w:rPr>
          <w:lang w:val="en-GB"/>
        </w:rPr>
        <w:t xml:space="preserve">in which an alkali metal was solvated by the glyme, </w:t>
      </w:r>
      <w:r w:rsidRPr="00905DD7">
        <w:rPr>
          <w:lang w:val="en-GB"/>
        </w:rPr>
        <w:t xml:space="preserve">and in consequence – to ILs with </w:t>
      </w:r>
      <w:proofErr w:type="spellStart"/>
      <w:r w:rsidRPr="00905DD7">
        <w:rPr>
          <w:lang w:val="en-GB"/>
        </w:rPr>
        <w:t>physico</w:t>
      </w:r>
      <w:proofErr w:type="spellEnd"/>
      <w:r w:rsidRPr="00905DD7">
        <w:rPr>
          <w:lang w:val="en-GB"/>
        </w:rPr>
        <w:t xml:space="preserve">-chemical behaviour different from concentrated electrolyte solutions. “Good” SILs are relatively simple to synthesise, thermally </w:t>
      </w:r>
      <w:r w:rsidRPr="006218B7">
        <w:rPr>
          <w:lang w:val="en-GB"/>
        </w:rPr>
        <w:t xml:space="preserve">stable, electrically conductive and </w:t>
      </w:r>
      <w:r w:rsidR="00554CBE" w:rsidRPr="006218B7">
        <w:rPr>
          <w:lang w:val="en-GB"/>
        </w:rPr>
        <w:t>non-flammable</w:t>
      </w:r>
      <w:r w:rsidRPr="006218B7">
        <w:rPr>
          <w:lang w:val="en-GB"/>
        </w:rPr>
        <w:t>, therefore make very good</w:t>
      </w:r>
      <w:r w:rsidRPr="00905DD7">
        <w:rPr>
          <w:lang w:val="en-GB"/>
        </w:rPr>
        <w:t xml:space="preserve"> electrolytes.</w:t>
      </w:r>
      <w:r w:rsidRPr="00905DD7">
        <w:rPr>
          <w:lang w:val="en-GB"/>
        </w:rPr>
        <w:fldChar w:fldCharType="begin" w:fldLock="1"/>
      </w:r>
      <w:r w:rsidR="0026470D">
        <w:rPr>
          <w:lang w:val="en-GB"/>
        </w:rPr>
        <w:instrText xml:space="preserve">ADDIN CSL_CITATION {"citationItems":[{"id":"ITEM-1","itemData":{"DOI":"10.1021/jp501319e","ISSN":"15205207","abstract":"To develop a basic understanding of a new class of ionic liquids (ILs), \"solvate\" ILs, the transport properties of binary mixtures of lithium bis(trifluoromethanesulfonyl)amide (Li[TFSA]) and oligoethers (tetraglyme (G4), triglyme (G3), diglyme (G2), and monoglyme (G1)) or tetrahydrofuran (THF) were studied. The self-diffusion coefficient ratio of the solvents and Li+ ions (Dsol/DLi) was a good metric for evaluating the stability of the complex cations consisting of Li+ and the solvent(s). When the molar ratio of Li+ ions and solvent oxygen atoms ([O]/[Li+]) was adjusted to 4 or 5, Dsol/DLi always exceeded unity for THF and G1-based mixtures even at the high concentrations, indicating the presence of uncoordinating or highly exchangeable solvents. In contrast, long-lived complex cations were evidenced by a D sol/DLi </w:instrText>
      </w:r>
      <w:r w:rsidR="0026470D">
        <w:rPr>
          <w:rFonts w:ascii="Cambria Math" w:hAnsi="Cambria Math" w:cs="Cambria Math"/>
          <w:lang w:val="en-GB"/>
        </w:rPr>
        <w:instrText>∼</w:instrText>
      </w:r>
      <w:r w:rsidR="0026470D">
        <w:rPr>
          <w:lang w:val="en-GB"/>
        </w:rPr>
        <w:instrText xml:space="preserve"> 1 for the longer G3 and G4. The binary mixtures studied were categorized into two different classes of liquids: concentrated solutions and solvate ILs, based on Dsol/DLi. Mixtures with G2 exhibited intermediate behavior and are likely the borderline dividing the two categories. The effect of chelation on the formation of solvate ILs also strongly correlated with electrolyte properties; the solvate ILs showed improved thermal and electrochemical stability. The ionicity (</w:instrText>
      </w:r>
      <w:r w:rsidR="0026470D">
        <w:rPr>
          <w:rFonts w:ascii="Cambria Math" w:hAnsi="Cambria Math" w:cs="Cambria Math"/>
          <w:lang w:val="en-GB"/>
        </w:rPr>
        <w:instrText>∇</w:instrText>
      </w:r>
      <w:r w:rsidR="0026470D">
        <w:rPr>
          <w:lang w:val="en-GB"/>
        </w:rPr>
        <w:instrText>imp/</w:instrText>
      </w:r>
      <w:r w:rsidR="0026470D">
        <w:rPr>
          <w:rFonts w:ascii="Cambria Math" w:hAnsi="Cambria Math" w:cs="Cambria Math"/>
          <w:lang w:val="en-GB"/>
        </w:rPr>
        <w:instrText>∇</w:instrText>
      </w:r>
      <w:r w:rsidR="0026470D">
        <w:rPr>
          <w:lang w:val="en-GB"/>
        </w:rPr>
        <w:instrText xml:space="preserve">NMR) of [Li(glyme or THF) x][TFSA] exhibited a maximum at an [O]/[Li+] ratio of 4 or 5. </w:instrText>
      </w:r>
      <w:r w:rsidR="0026470D">
        <w:rPr>
          <w:rFonts w:ascii="Calibri" w:hAnsi="Calibri" w:cs="Calibri"/>
          <w:lang w:val="en-GB"/>
        </w:rPr>
        <w:instrText>©</w:instrText>
      </w:r>
      <w:r w:rsidR="0026470D">
        <w:rPr>
          <w:lang w:val="en-GB"/>
        </w:rPr>
        <w:instrText xml:space="preserve"> 2014 American Chemical Society.","author":[{"dropping-particle":"","family":"Zhang","given":"Ce","non-dropping-particle":"","parse-names":false,"suffix":""},{"dropping-particle":"","family":"Ueno","given":"Kazuhide","non-dropping-particle":"","parse-names":false,"suffix":""},{"dropping-particle":"","family":"Yamazaki","given":"Azusa","non-dropping-particle":"","parse-names":false,"suffix":""},{"dropping-particle":"","family":"Yoshida","given":"Kazuki","non-dropping-particle":"","parse-names":false,"suffix":""},{"dropping-particle":"","family":"Moon","given":"Heejoon","non-dropping-particle":"","parse-names":false,"suffix":""},{"dropping-particle":"","family":"Mandai","given":"Toshihiko","non-dropping-particle":"","parse-names":false,"suffix":""},{"dropping-particle":"","family":"Umebayashi","given":"Yasuhiro","non-dropping-particle":"","parse-names":false,"suffix":""},{"dropping-particle":"","family":"Dokko","given":"Kaoru","non-dropping-particle":"","parse-names":false,"suffix":""},{"dropping-particle":"","family":"Watanabe","given":"Masayoshi","non-dropping-particle":"","parse-names":false,"suffix":""}],"container-title":"Journal of Physical Chemistry B","id":"ITEM-1","issue":"19","issued":{"date-parts":[["2014","5","15"]]},"page":"5144-5153","publisher":"American Chemical Society","title":"Chelate effects in glyme/lithium bis(trifluoromethanesulfonyl)amide solvate ionic liquids. I. Stability of solvate cations and correlation with electrolyte properties","type":"article-journal","volume":"118"},"uris":["http://www.mendeley.com/documents/?uuid=89b1314d-1049-49ad-a0f2-2fb15fc10099"]},{"id":"ITEM-2","itemData":{"DOI":"10.1021/jp504099q","ISSN":"19327455","abstract":"Highly concentrated, molten mixtures of lithium bis(trifluoromethanesulfonyl)amide (Li[TFSA]) and ether solvents (tetrahydrofuran (THF), monoglyme (G1), diglyme (G2), and triglyme (G3)) were investigated as electrolytes for Li batteries. To compare the electrochemical reactions in the electrolytes with different solvents, the ratio of ether-oxygen atoms and Li+ ([O]/[Li]) in the electrolytes was fixed at four. The capacity of a Li-LiCoO2 cell with [Li(THF)4][TFSA] dramatically decreased upon charge/discharge cycling, whereas [Li(G3) 1][TFSA] allowed the cell to have a stable charge-discharge cycles and a Coulombic efficiency of greater than 99% over 100 cycles. Corrosion of the Al current collector of the cathode was also affected by the composition of the electrolytes. Persistent Al corrosion took place in [Li(THF)4][TFSA] and [Li(G1)2][TFSA], which contain shorter ethers, but the corrosion was effectively suppressed in [Li(G3)1][TFSA]. Furthermore, lithium polysulfides, which are formed as discharge intermediates at the sulfur cathode of the Li-S cell, were much less soluble in electrolytes with longer ethers. Therefore, a higher Coulombic efficiency and more stable cycle ability were achieved in Li-S cells with [Li(G3)1][TFSA]. All the electrochemical properties in the batteries were dominated by the presence or absence of uncoordinating solvents in the concentrated electrolytes. This paper demonstrates that the structural stability of [Li(glyme or THF) x]+ cations in electrolytes plays an important role in the performance of Li batteries. © 2014 American Chemical Society.","author":[{"dropping-particle":"","family":"Zhang","given":"Ce","non-dropping-particle":"","parse-names":false,"suffix":""},{"dropping-particle":"","family":"Yamazaki","given":"Azusa","non-dropping-particle":"","parse-names":false,"suffix":""},{"dropping-particle":"","family":"Murai","given":"Junichi","non-dropping-particle":"","parse-names":false,"suffix":""},{"dropping-particle":"","family":"Park","given":"Jun Woo","non-dropping-particle":"","parse-names":false,"suffix":""},{"dropping-particle":"","family":"Mandai","given":"Toshihiko","non-dropping-particle":"","parse-names":false,"suffix":""},{"dropping-particle":"","family":"Ueno","given":"Kazuhide","non-dropping-particle":"","parse-names":false,"suffix":""},{"dropping-particle":"","family":"Dokko","given":"Kaoru","non-dropping-particle":"","parse-names":false,"suffix":""},{"dropping-particle":"","family":"Watanabe","given":"Masayoshi","non-dropping-particle":"","parse-names":false,"suffix":""}],"container-title":"Journal of Physical Chemistry C","id":"ITEM-2","issue":"31","issued":{"date-parts":[["2014"]]},"page":"17362-17373","title":"Chelate effects in glyme/lithium Bis(trifluoromethanesulfonyl)amide solvate ionic liquids, Part 2: Importance of solvate-structure stability for electrolytes of lithium batteries","type":"article-journal","volume":"118"},"uris":["http://www.mendeley.com/documents/?uuid=6ce00108-6a62-4dd6-b4fb-f1ba5d801b4c"]},{"id":"ITEM-3","itemData":{"DOI":"10.5796/electrochemistry.83.824","ISSN":"21862451","abstract":"Ionic conductivity and viscosity of lithium bis(trifluoromethylsulfonyl)amide (LiTFSA)-glyme solvate ionic liquids with the mole fraction of LiTFSA from 50.0 to 54.5mol% were investigated at 298-323 K. The ionic conductivity of the solvate ionic liquids was found to be inversely proportional to the viscosity, as expected from Walden's rule. The ionic conductivity of the solvate ionic liquid decreased with increasing the mole fraction of LiTFSA, probably due to formation of a bulky lithium species, [Li(TFSA)2]?, which forms at the compositions of more than 50mol% of LiTFSA.","author":[{"dropping-particle":"","family":"Hirayama","given":"Hirotsugu","non-dropping-particle":"","parse-names":false,"suffix":""},{"dropping-particle":"","family":"Tachikawa","given":"Naoki","non-dropping-particle":"","parse-names":false,"suffix":""},{"dropping-particle":"","family":"Yoshii","given":"Kazuki","non-dropping-particle":"","parse-names":false,"suffix":""},{"dropping-particle":"","family":"Watanabe","given":"Masayoshi","non-dropping-particle":"","parse-names":false,"suffix":""},{"dropping-particle":"","family":"Katayama","given":"Yasushi","non-dropping-particle":"","parse-names":false,"suffix":""}],"container-title":"Electrochemistry","id":"ITEM-3","issue":"10","issued":{"date-parts":[["2015"]]},"page":"824-827","title":"Ionic conductivity and viscosity of solvate ionic liquids composed of glymes and excess lithium bis(trifluoromethylsulfonyl)amide","type":"article-journal","volume":"83"},"uris":["http://www.mendeley.com/documents/?uuid=19c11efb-9605-4658-b29b-39983381c009"]},{"id":"ITEM-4","itemData":{"DOI":"10.1021/acs.jpcc.5b11642","ISSN":"19327455","abstract":"An equimolar mixture of lithium bis(trifluoromethanesulfonyl)amide (Li[TFSA]) and either triglyme (G3) or tetraglyme (G4) yielded stable molten complexes: [Li(G3)][TFSA] and [Li(G4)][TFSA]. These are known as solvate ionic liquids (SILs). Glyme-based SILs have thermal and electrochemical properties favorable for use as lithium-conducting electrolytes in lithium batteries. However, their intrinsically high viscosities and low ionic conductivities prevent practical application. Therefore, we diluted SILs with molecular solvents in order to enhance their ionic conductivities. To determine the stabilities of the complex cations in diluted SILs, their conductivity and viscosity, the self-diffusion coefficients, and Raman spectra were measured. [Li(G3)]+ and [Li(G4)]+ were stable in nonpolar solvents, that is, toluene, diethyl carbonate, and a hydrofluoroether (HFE); however, ligand exchange took place between glyme and solvent when polar solvents, that is, water and propylene carbonate, were used. In acetonitrile (AN) mixed solvent complex cations [Li(G3)(AN)]+ and [Li(G4)(AN)]+ were formed. [Li(G4)][TFSA] was more conductive than [Li(G3)][TFSA] when diluted with nonpolar solvents due to the greater ionic dissociativity in [Li(G4)][TFSA] mixtures. In view of the stability of the Li-glyme complex cations, the enhanced ionic conductivities, and the intrinsic electrochemical stabilities of the diluting solvents, [Li(G4)][TFSA] diluted by toluene or HFE, can be a candidate for an alternative battery electrolyte.","author":[{"dropping-particle":"","family":"Ueno","given":"Kazuhide","non-dropping-particle":"","parse-names":false,"suffix":""},{"dropping-particle":"","family":"Murai","given":"Junichi","non-dropping-particle":"","parse-names":false,"suffix":""},{"dropping-particle":"","family":"Ikeda","given":"Kohei","non-dropping-particle":"","parse-names":false,"suffix":""},{"dropping-particle":"","family":"Tsuzuki","given":"Seiji","non-dropping-particle":"","parse-names":false,"suffix":""},{"dropping-particle":"","family":"Tsuchiya","given":"Mizuho","non-dropping-particle":"","parse-names":false,"suffix":""},{"dropping-particle":"","family":"Tatara","given":"Ryoichi","non-dropping-particle":"","parse-names":false,"suffix":""},{"dropping-particle":"","family":"Mandai","given":"Toshihiko","non-dropping-particle":"","parse-names":false,"suffix":""},{"dropping-particle":"","family":"Umebayashi","given":"Yasuhiro","non-dropping-particle":"","parse-names":false,"suffix":""},{"dropping-particle":"","family":"Dokko","given":"Kaoru","non-dropping-particle":"","parse-names":false,"suffix":""},{"dropping-particle":"","family":"Watanabe","given":"Masayoshi","non-dropping-particle":"","parse-names":false,"suffix":""}],"container-title":"Journal of Physical Chemistry C","id":"ITEM-4","issue":"29","issued":{"date-parts":[["2016","7","28"]]},"page":"15792-15802","publisher":"American Chemical Society","title":"Li+ Solvation and Ionic Transport in Lithium Solvate Ionic Liquids Diluted by Molecular Solvents","type":"article-journal","volume":"120"},"uris":["http://www.mendeley.com/documents/?uuid=4dd8ad11-fa19-4105-8732-f4bdf7b551d3"]},{"id":"ITEM-5","itemData":{"DOI":"10.1246/bcsj.20180216","ISSN":"13480634","abstract":", he joined the Watanabe, Dokko and Ueno group in 2014. His research interests are clean technologies, with a particular interest in solvent and electrolyte systems, and green chemistry. Abstract Certain concentrated mixtures of lithium salt and solvent (ligand) are no longer simple solutions, but categorized as solvate ionic liquids (SILs), where the solvent strongly coordinates to the cation to form a solvate, a negligible amount of free solvent remains, and thus the SIL consists of the solvate Document type: Review/Account 1660 | Bull. cation and the anion. Typical examples are mixtures of lithium bis(trifluoromethane sulfonyl)amide (Li[TFSA]) and certain glymes The successful formation of a SIL greatly depends on both the ligand and lithium salt structures. To obtain robust and long-lived solvates, a ligand exhibiting a chelate effect is essential and n = 3 and 4 (i.e. triglyme and tetraglyme) are suitable for the formation of lithium solvates. The Lewis basicity of the lithium salt anion also significantly affects the formation of SILs. Specifically, a weak Lewis basicity promotes the formation of a SIL, since the ligand-Li + interaction overwhelms the Li +-anion interaction. SILs can be diluted with rather low polarity solvents to increase the ionic conductivity, where the solvate structure is maintained even after the dilution. SILs exhibit unique features as electrolytes, including the enhancement of oxidation stability of the component glymes, unique Li + transport through ligand exchange when interfacial electrochemical reactions are occurring , the inhibition of aluminum corrosion when Al foil is used as a cathode current collector, poorly-solubilizing towards ionic electroactive materials, and electrochemical graphite intercalation reactions. These features greatly enhance the possibility for application of SILs as next generation lithium battery electrolytes. Furthermore, new polymer electrolytes containing SILs have been proposed, simultaneously enabling film-processability, high ionic conductivity, thermal stability, and a wide potential window. Preservation of the solvate structure in the polymeric phases is pivotal to such achievements.","author":[{"dropping-particle":"","family":"Watanabe","given":"Masayoshi","non-dropping-particle":"","parse-names":false,"suffix":""},{"dropping-particle":"","family":"Dokko","given":"Kaoru","non-dropping-particle":"","parse-names":false,"suffix":""},{"dropping-particle":"","family":"Ueno","given":"Kazuhide","non-dropping-particle":"","parse-names":false,"suffix":""},{"dropping-particle":"","family":"Thomas","given":"Morgan L.","non-dropping-particle":"","parse-names":false,"suffix":""}],"container-title":"Bulletin of the Chemical Society of Japan","id":"ITEM-5","issue":"11","issued":{"date-parts":[["2018","11","15"]]},"page":"1660-1682","publisher":"Chemical Society of Japan","title":"From ionic liquids to solvate ionic liquids: Challenges and opportunities for next generation battery electrolytes","type":"article-journal","volume":"91"},"uris":["http://www.mendeley.com/documents/?uuid=50144a97-008f-4676-9817-0411d1e0bde1"]},{"id":"ITEM-6","itemData":{"DOI":"10.1021/acsami.8b10387","ISSN":"19448252","abstract":"Solvate ionic liquids (SILs) are a promising electrolyte for Li-ion batteries; thus, their behavior at electrified interfaces is crucial for the operation of these batteries. We report molecular dynamics simulation results for a prototypical SIL of lithium triglyme bis(trifluoromethanesulfonyl)imide ([Li(G3)][TFSI]) sandwiched between electrified surfaces. At negatively charged as well as neutral electrodes, the electrolyte largely maintains the characteristics of SILs in terms of the interfacial Li+ ions' coordination by a similar number of oxygen atoms on G3 ligands as the bulk Li+ ions. The persistence of the complex ions is attributed to the 1:1 Li-G3 ratio in bulk SILs and the fact that G3 molecules readily adapt to the interfacial environment by aligning themselves with the surface to ensure good solvation of the interfacial Li+ ions. Nevertheless, the interfacial Li+ ions also display changes of solvation from that in bulk SIL by deviating from the molecular plane formed by the oxygen atoms on G3 ligands as electrodes become more negatively charged. Using density functional theory along with natural bond orbital calculations, we examine the effects of such structural distortion on the properties of the complex cation. Both the frontier orbital energies of the complex cation and the donor-acceptor interactions between Li+ ions and G3 ligands are found to be dependent on the deviation of Li+ ions from the molecular plane of the G3 ligands, which suggests that the electrochemical reduction of Li+ ions should be facilitated by the structural distortion. These results bear important implications for the nanostructures and properties of SILs near electrified interfaces during actual operations of Li-ion batteries and serve to provide guidance toward the rational design of new SIL electrolytes.","author":[{"dropping-particle":"","family":"Yu","given":"Zhou","non-dropping-particle":"","parse-names":false,"suffix":""},{"dropping-particle":"","family":"Fang","given":"Chao","non-dropping-particle":"","parse-names":false,"suffix":""},{"dropping-particle":"","family":"Huang","given":"Jingsong","non-dropping-particle":"","parse-names":false,"suffix":""},{"dropping-particle":"","family":"Sumpter","given":"Bobby G.","non-dropping-particle":"","parse-names":false,"suffix":""},{"dropping-particle":"","family":"Qiao","given":"Rui","non-dropping-particle":"","parse-names":false,"suffix":""}],"container-title":"ACS Applied Materials and Interfaces","id":"ITEM-6","issue":"38","issued":{"date-parts":[["2018"]]},"page":"32151-32161","title":"Solvate Ionic Liquids at Electrified Interfaces","type":"article-journal","volume":"10"},"uris":["http://www.mendeley.com/documents/?uuid=1252228b-4b15-4591-ac72-5d70ad19460d"]},{"id":"ITEM-7","itemData":{"DOI":"10.1071/CH18270","ISSN":"14450038","abstract":"The liquid structures and transport properties of electrolytes composed of lithium bis(fluorosulfonyl)amide (Li[FSA]) and glyme (triglyme (G3) or tetraglyme (G4)) were investigated. Raman spectroscopy indicated that the 1: 1 mixtures of Li[FSA] and glyme (G3 or G4) are solvate ionic liquids (SILs) comprising a cationic [Li(glyme)]+ complex and the [FSA]- anion. In Li[FSA]-excess liquids with Li[FSA]/glyme molar ratios greater than 1, anionic Lix[FSA]y(y - x)- complexes were formed in addition to the cationic [Li(glyme)]+ complex. Pulsed field gradient NMR measurements revealed that the self-diffusion coefficients of Li+ (DLi) and glyme (Dglyme) are identical in the Li[FSA]/glyme = 1 liquid, suggesting that Li+ and glyme diffuse together and that a long-lived cationic [Li(glyme)]+ complex is formed in the SIL. The ratio of the self-diffusion coefficients of [FSA]- and Li+, DFSA/DLi, was essentially constant at </w:instrText>
      </w:r>
      <w:r w:rsidR="0026470D">
        <w:rPr>
          <w:rFonts w:ascii="Cambria Math" w:hAnsi="Cambria Math" w:cs="Cambria Math"/>
          <w:lang w:val="en-GB"/>
        </w:rPr>
        <w:instrText>∼</w:instrText>
      </w:r>
      <w:r w:rsidR="0026470D">
        <w:rPr>
          <w:lang w:val="en-GB"/>
        </w:rPr>
        <w:instrText>1.1-1.3 in the Li[FSA]/glyme &lt; 1 liquid. However, DFSA/DLi increased rapidly as the amount of Li[FSA] increased in the Li[FSA]/glyme &gt; 1 liquid, indicating that the ion transport mechanism in the electrolyte changed at the composition of Li[FSA]/glyme = 1. The oxidative stability of the electrolytes was enhanced as the Li[FSA] concentration increased. Furthermore, Al corrosion was suppressed in the electrolytes for which Li[FSA]/glyme &gt; 1. A battery consisting of a Li metal anode, a LiNi1/3Mn1/3Co1/3O2 cathode, and Li[FSA]/G3 = 2 electrolyte exhibited a discharge capacity of 105 mA h g-1 at a current density of 1.3 mA cm-2, regardless of its low ionic conductivity of 0.2 mS cm-1","author":[{"dropping-particle":"","family":"Terada","given":"Shoshi","non-dropping-particle":"","parse-names":false,"suffix":""},{"dropping-particle":"","family":"Ikeda","given":"Kohei","non-dropping-particle":"","parse-names":false,"suffix":""},{"dropping-particle":"","family":"Ueno","given":"Kazuhide","non-dropping-particle":"","parse-names":false,"suffix":""},{"dropping-particle":"","family":"Dokko","given":"Kaoru","non-dropping-particle":"","parse-names":false,"suffix":""},{"dropping-particle":"","family":"Watanabe","given":"Masayoshi","non-dropping-particle":"","parse-names":false,"suffix":""}],"container-title":"Australian Journal of Chemistry","id":"ITEM-7","issue":"2","issued":{"date-parts":[["2019"]]},"page":"70-80","title":"Liquid structures and transport properties of lithium bis(fluorosulfonyl)amide/glyme solvate ionic liquids for lithium batteries","type":"article-journal","volume":"72"},"uris":["http://www.mendeley.com/documents/?uuid=a77b4fe5-9383-49f0-a3fb-c60c4cbfc7b6"]},{"id":"ITEM-8","itemData":{"DOI":"10.1016/j.electacta.2019.03.051","ISSN":"00134686","abstract":"We report an electrochemical study of end-capped glymes dissolving lithium salts as electrolyte solutions for lithium metal batteries. Various electrolyte formulations including triethylene and diethylene glycol dimethyl ethers as solvents and lithium salts employing bis(fluorosulfonyl)imide (FSI − ), bis(trifluoromethanesulfonyl)imide (TFSI − ), and bis(pentafluoroethanesulfonyl)imide (BETI − ) anions are explored. The ion transport properties, the lithium/electrolyte interphase characteristics and the electrochemical stability window are investigated by means of chronoamperometry, electrochemical impedance spectroscopy, galvanostatic cycling, and voltammetry measurements. The comparative study suggests electrochemical properties well suitable for lithium battery application which enable long cycling. The electrolyte solutions are studied in cells using an insertion cathode material, i.e., lithium iron phosphate (LiFePO 4 ), and the high-energy lithium metal anode. The results reveal that the electrolyte composition has a remarkable effect on the cell performances, and indicate the solutions of LiTFSI salt in either glymes as the most adequate formulations for possible applications among the ones herein investigated.","author":[{"dropping-particle":"","family":"Wei","given":"Shuangying","non-dropping-particle":"","parse-names":false,"suffix":""},{"dropping-particle":"","family":"Li","given":"Zhenguang","non-dropping-particle":"","parse-names":false,"suffix":""},{"dropping-particle":"","family":"Kimura","given":"Kento","non-dropping-particle":"","parse-names":false,"suffix":""},{"dropping-particle":"","family":"Inoue","given":"Shoichi","non-dropping-particle":"","parse-names":false,"suffix":""},{"dropping-particle":"","family":"Pandini","given":"Loris","non-dropping-particle":"","parse-names":false,"suffix":""},{"dropping-particle":"","family":"Lecce","given":"Daniele","non-dropping-particle":"Di","parse-names":false,"suffix":""},{"dropping-particle":"","family":"Tominaga","given":"Yoichi","non-dropping-particle":"","parse-names":false,"suffix":""},{"dropping-particle":"","family":"Hassoun","given":"Jusef","non-dropping-particle":"","parse-names":false,"suffix":""}],"container-title":"Electrochimica Acta","id":"ITEM-8","issued":{"date-parts":[["2019","5","20"]]},"page":"85-95","publisher":"Elsevier Ltd","title":"Glyme-based electrolytes for lithium metal batteries using insertion electrodes: An electrochemical study","type":"article-journal","volume":"306"},"uris":["http://www.mendeley.com/documents/?uuid=0450c185-08a3-393d-bbe3-7a9c923a271e"]}],"mendeley":{"formattedCitation":"&lt;sup&gt;17–24&lt;/sup&gt;","plainTextFormattedCitation":"17–24","previouslyFormattedCitation":"&lt;sup&gt;17–24&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17–24</w:t>
      </w:r>
      <w:r w:rsidRPr="00905DD7">
        <w:rPr>
          <w:lang w:val="en-GB"/>
        </w:rPr>
        <w:fldChar w:fldCharType="end"/>
      </w:r>
    </w:p>
    <w:p w14:paraId="3D503D03" w14:textId="12D5FB29" w:rsidR="00C9420D" w:rsidRPr="000C0F4F" w:rsidRDefault="00C9420D" w:rsidP="00245F43">
      <w:pPr>
        <w:pStyle w:val="RSCB02ArticleText"/>
        <w:ind w:firstLine="284"/>
        <w:rPr>
          <w:lang w:val="en-GB"/>
        </w:rPr>
      </w:pPr>
      <w:r w:rsidRPr="00905DD7">
        <w:rPr>
          <w:lang w:val="en-GB"/>
        </w:rPr>
        <w:t>Since SILs have been developed in the context of energy storage applications</w:t>
      </w:r>
      <w:r w:rsidR="00245F43">
        <w:rPr>
          <w:lang w:val="en-GB"/>
        </w:rPr>
        <w:t>, their uses</w:t>
      </w:r>
      <w:r w:rsidRPr="00905DD7">
        <w:rPr>
          <w:lang w:val="en-GB"/>
        </w:rPr>
        <w:t xml:space="preserve"> in catalysis</w:t>
      </w:r>
      <w:r w:rsidR="00245F43">
        <w:rPr>
          <w:lang w:val="en-GB"/>
        </w:rPr>
        <w:t xml:space="preserve"> </w:t>
      </w:r>
      <w:r w:rsidRPr="00905DD7">
        <w:rPr>
          <w:lang w:val="en-GB"/>
        </w:rPr>
        <w:t xml:space="preserve">are </w:t>
      </w:r>
      <w:r w:rsidR="00905DD7">
        <w:rPr>
          <w:lang w:val="en-GB"/>
        </w:rPr>
        <w:t>scarce</w:t>
      </w:r>
      <w:r w:rsidRPr="00905DD7">
        <w:rPr>
          <w:lang w:val="en-GB"/>
        </w:rPr>
        <w:t>.</w:t>
      </w:r>
      <w:r w:rsidRPr="00905DD7">
        <w:rPr>
          <w:lang w:val="en-GB"/>
        </w:rPr>
        <w:fldChar w:fldCharType="begin" w:fldLock="1"/>
      </w:r>
      <w:r w:rsidR="0026470D">
        <w:rPr>
          <w:lang w:val="en-GB"/>
        </w:rPr>
        <w:instrText>ADDIN CSL_CITATION {"citationItems":[{"id":"ITEM-1","itemData":{"DOI":"10.3389/fchem.2019.00263","ISSN":"22962646","abstract":"Solvate Ionic Liquids (SILs) are a relatively new class of ionic liquids consisting of a coordinating solvent and salt, that give rise to a chelate complex with very similar properties to ionic liquids. Herein is the exploration of the reported Kamlet-Taft parameters, Gutmann Acceptor numbers and the investigation of chelating effects through NMR spectroscopy of multiple atomic nuclei. These properties are related to the application of SILs as reaction media for organic reactions. This area is also reviewed here, including the implication in catalysis for the Aldol and Kabachnik-Fields reactions and electrocyclization reactions such as Diels-Alder and [2+2] cycloaddition. Solvate ILs exhibit many interesting properties and hold great potential as a solvent for organic transformations.","author":[{"dropping-particle":"","family":"Eyckens","given":"Daniel J.","non-dropping-particle":"","parse-names":false,"suffix":""},{"dropping-particle":"","family":"Henderson","given":"Luke C.","non-dropping-particle":"","parse-names":false,"suffix":""}],"container-title":"Frontiers in Chemistry","id":"ITEM-1","issue":"APR","issued":{"date-parts":[["2019","4","18"]]},"page":"1-15","publisher":"Frontiers Media S.A.","title":"A review of solvate ionic liquids: Physical parameters and synthetic applications","type":"article-journal","volume":"7"},"uris":["http://www.mendeley.com/documents/?uuid=80cbc608-82ff-4720-aba0-39fdf6bd374f"]}],"mendeley":{"formattedCitation":"&lt;sup&gt;25&lt;/sup&gt;","plainTextFormattedCitation":"25","previouslyFormattedCitation":"&lt;sup&gt;25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25</w:t>
      </w:r>
      <w:r w:rsidRPr="00905DD7">
        <w:rPr>
          <w:lang w:val="en-GB"/>
        </w:rPr>
        <w:fldChar w:fldCharType="end"/>
      </w:r>
      <w:r w:rsidRPr="00905DD7">
        <w:rPr>
          <w:lang w:val="en-GB"/>
        </w:rPr>
        <w:t xml:space="preserve"> </w:t>
      </w:r>
      <w:proofErr w:type="spellStart"/>
      <w:r w:rsidRPr="00905DD7">
        <w:rPr>
          <w:lang w:val="en-GB"/>
        </w:rPr>
        <w:t>Eyckens</w:t>
      </w:r>
      <w:proofErr w:type="spellEnd"/>
      <w:r w:rsidRPr="00905DD7">
        <w:rPr>
          <w:lang w:val="en-GB"/>
        </w:rPr>
        <w:t xml:space="preserve"> </w:t>
      </w:r>
      <w:r w:rsidRPr="00905DD7">
        <w:rPr>
          <w:i/>
          <w:iCs/>
          <w:lang w:val="en-GB"/>
        </w:rPr>
        <w:t>et al</w:t>
      </w:r>
      <w:r w:rsidRPr="00905DD7">
        <w:rPr>
          <w:lang w:val="en-GB"/>
        </w:rPr>
        <w:t>. used SILs in Diels-Alder and [2+2] cycloadditions, reporting that higher yields (up to 94%) and improved reaction safety can be achieved by replacing a</w:t>
      </w:r>
      <w:r w:rsidR="00101D06" w:rsidRPr="00905DD7">
        <w:rPr>
          <w:lang w:val="en-GB"/>
        </w:rPr>
        <w:t> </w:t>
      </w:r>
      <w:r w:rsidRPr="00905DD7">
        <w:rPr>
          <w:lang w:val="en-GB"/>
        </w:rPr>
        <w:t>solution of lithium salt in a molecular solvent with [Li(G3)][NTf</w:t>
      </w:r>
      <w:r w:rsidRPr="00905DD7">
        <w:rPr>
          <w:vertAlign w:val="subscript"/>
          <w:lang w:val="en-GB"/>
        </w:rPr>
        <w:t>2</w:t>
      </w:r>
      <w:r w:rsidRPr="00905DD7">
        <w:rPr>
          <w:lang w:val="en-GB"/>
        </w:rPr>
        <w:t>] or [Li(G4)][NTf</w:t>
      </w:r>
      <w:r w:rsidRPr="00905DD7">
        <w:rPr>
          <w:vertAlign w:val="subscript"/>
          <w:lang w:val="en-GB"/>
        </w:rPr>
        <w:t>2</w:t>
      </w:r>
      <w:r w:rsidRPr="00905DD7">
        <w:rPr>
          <w:lang w:val="en-GB"/>
        </w:rPr>
        <w:t>], in the formation of oxetanone.</w:t>
      </w:r>
      <w:r w:rsidRPr="00905DD7">
        <w:rPr>
          <w:lang w:val="en-GB"/>
        </w:rPr>
        <w:fldChar w:fldCharType="begin" w:fldLock="1"/>
      </w:r>
      <w:r w:rsidR="0026470D">
        <w:rPr>
          <w:lang w:val="en-GB"/>
        </w:rPr>
        <w:instrText>ADDIN CSL_CITATION {"citationItems":[{"id":"ITEM-1","itemData":{"DOI":"10.1002/ejoc.201501614","ISSN":"10990690","abstract":"Solvate ionic liquids (SILs) consisting of lithium bis(trifluoromethylsulfonyl)imide dissolved in tri-or tetraglyme have recently emerged as a novel class of ionic liquids. Herein, the first use of solvate ionic liquids as a replacement for molecular solvents in electrocyclization reactions is reported. The SILs promoted both Diels-Alder and [2+2] cycloaddition reactions, compared to an appropriate molecular solvent, and 5 M lithium perchlorate in diethyl ether. The Gutmann acceptor number (AN) of these solvate ionic liquids has also been determined by 31P NMR spectroscopy to be 26.5, thus being modest Lewis acids.","author":[{"dropping-particle":"","family":"Eyckens","given":"Daniel J.","non-dropping-particle":"","parse-names":false,"suffix":""},{"dropping-particle":"","family":"Champion","given":"Megan E.","non-dropping-particle":"","parse-names":false,"suffix":""},{"dropping-particle":"","family":"Fox","given":"Bronwyn L.","non-dropping-particle":"","parse-names":false,"suffix":""},{"dropping-particle":"","family":"Yoganantharajah","given":"Prusothman","non-dropping-particle":"","parse-names":false,"suffix":""},{"dropping-particle":"","family":"Gibert","given":"Yann","non-dropping-particle":"","parse-names":false,"suffix":""},{"dropping-particle":"","family":"Welton","given":"Tom","non-dropping-particle":"","parse-names":false,"suffix":""},{"dropping-particle":"","family":"Henderson","given":"Luke C.","non-dropping-particle":"","parse-names":false,"suffix":""}],"container-title":"European Journal of Organic Chemistry","id":"ITEM-1","issue":"5","issued":{"date-parts":[["2016"]]},"page":"913-917","title":"Solvate Ionic Liquids as Reaction Media for Electrocyclic Transformations","type":"article-journal","volume":"2016"},"uris":["http://www.mendeley.com/documents/?uuid=d650ea72-bbca-3088-9bae-90d672a9db8e"]}],"mendeley":{"formattedCitation":"&lt;sup&gt;26&lt;/sup&gt;","plainTextFormattedCitation":"26","previouslyFormattedCitation":"&lt;sup&gt;26&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26</w:t>
      </w:r>
      <w:r w:rsidRPr="00905DD7">
        <w:rPr>
          <w:lang w:val="en-GB"/>
        </w:rPr>
        <w:fldChar w:fldCharType="end"/>
      </w:r>
      <w:r w:rsidRPr="00905DD7">
        <w:rPr>
          <w:lang w:val="en-GB"/>
        </w:rPr>
        <w:t xml:space="preserve"> Obregón-Zúñiga </w:t>
      </w:r>
      <w:r w:rsidRPr="00905DD7">
        <w:rPr>
          <w:i/>
          <w:iCs/>
          <w:lang w:val="en-GB"/>
        </w:rPr>
        <w:t>et al</w:t>
      </w:r>
      <w:r w:rsidRPr="00905DD7">
        <w:rPr>
          <w:lang w:val="en-GB"/>
        </w:rPr>
        <w:t xml:space="preserve">. found improved yield and </w:t>
      </w:r>
      <w:r w:rsidR="00905DD7" w:rsidRPr="00905DD7">
        <w:rPr>
          <w:lang w:val="en-GB"/>
        </w:rPr>
        <w:t>selectivity</w:t>
      </w:r>
      <w:r w:rsidRPr="00905DD7">
        <w:rPr>
          <w:lang w:val="en-GB"/>
        </w:rPr>
        <w:t xml:space="preserve"> in asymmetric aldol reaction in the presence of SILs, also [Li(G3)][NTf</w:t>
      </w:r>
      <w:r w:rsidRPr="00905DD7">
        <w:rPr>
          <w:vertAlign w:val="subscript"/>
          <w:lang w:val="en-GB"/>
        </w:rPr>
        <w:t>2</w:t>
      </w:r>
      <w:r w:rsidRPr="00905DD7">
        <w:rPr>
          <w:lang w:val="en-GB"/>
        </w:rPr>
        <w:t>] or [Li(G4)][NTf</w:t>
      </w:r>
      <w:r w:rsidRPr="00905DD7">
        <w:rPr>
          <w:vertAlign w:val="subscript"/>
          <w:lang w:val="en-GB"/>
        </w:rPr>
        <w:t>2</w:t>
      </w:r>
      <w:r w:rsidRPr="00905DD7">
        <w:rPr>
          <w:lang w:val="en-GB"/>
        </w:rPr>
        <w:t>], due to their involvement in the catalytically active supramolecular aggregate formation.</w:t>
      </w:r>
      <w:r w:rsidRPr="00905DD7">
        <w:rPr>
          <w:lang w:val="en-GB"/>
        </w:rPr>
        <w:fldChar w:fldCharType="begin" w:fldLock="1"/>
      </w:r>
      <w:r w:rsidR="0026470D">
        <w:rPr>
          <w:lang w:val="en-GB"/>
        </w:rPr>
        <w:instrText>ADDIN CSL_CITATION {"citationItems":[{"id":"ITEM-1","itemData":{"DOI":"10.1021/acs.orglett.7b00129","ISSN":"15237052","PMID":"28199118","abstract":"For the first time, a highly efficient and stereoselective asymmetric aldol reaction employing (S)-proline in the presence of solvate ionic liquids is reported. The reaction seems to proceed via a supramolecular aggregate of (S)-proline, the solvate ionic liquid, and water, affording high yields and excellent stereoselectivities with low catalyst loadings.","author":[{"dropping-particle":"","family":"Obregón-Zúñiga","given":"Arturo","non-dropping-particle":"","parse-names":false,"suffix":""},{"dropping-particle":"","family":"Milán","given":"Mario","non-dropping-particle":"","parse-names":false,"suffix":""},{"dropping-particle":"","family":"Juaristi","given":"Eusebio","non-dropping-particle":"","parse-names":false,"suffix":""}],"container-title":"Organic Letters","id":"ITEM-1","issue":"5","issued":{"date-parts":[["2017","3","3"]]},"page":"1108-1111","publisher":"American Chemical Society","title":"Improving the Catalytic Performance of (S)-Proline as Organocatalyst in Asymmetric Aldol Reactions in the Presence of Solvate Ionic Liquids: Involvement of a Supramolecular Aggregate","type":"article-journal","volume":"19"},"uris":["http://www.mendeley.com/documents/?uuid=331ff9bb-a03f-4d3b-9e28-d9012cdfddd7"]}],"mendeley":{"formattedCitation":"&lt;sup&gt;27&lt;/sup&gt;","plainTextFormattedCitation":"27","previouslyFormattedCitation":"&lt;sup&gt;27&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27</w:t>
      </w:r>
      <w:r w:rsidRPr="00905DD7">
        <w:rPr>
          <w:lang w:val="en-GB"/>
        </w:rPr>
        <w:fldChar w:fldCharType="end"/>
      </w:r>
      <w:r w:rsidRPr="00905DD7">
        <w:rPr>
          <w:lang w:val="en-GB"/>
        </w:rPr>
        <w:t xml:space="preserve"> Other uses included </w:t>
      </w:r>
      <w:proofErr w:type="spellStart"/>
      <w:r w:rsidRPr="00905DD7">
        <w:rPr>
          <w:lang w:val="en-GB"/>
        </w:rPr>
        <w:t>Kabachnik</w:t>
      </w:r>
      <w:proofErr w:type="spellEnd"/>
      <w:r w:rsidRPr="00905DD7">
        <w:rPr>
          <w:lang w:val="en-GB"/>
        </w:rPr>
        <w:t>-Fields reactions,</w:t>
      </w:r>
      <w:r w:rsidRPr="00905DD7">
        <w:rPr>
          <w:lang w:val="en-GB"/>
        </w:rPr>
        <w:fldChar w:fldCharType="begin" w:fldLock="1"/>
      </w:r>
      <w:r w:rsidR="0026470D">
        <w:rPr>
          <w:lang w:val="en-GB"/>
        </w:rPr>
        <w:instrText>ADDIN CSL_CITATION {"citationItems":[{"id":"ITEM-1","itemData":{"DOI":"10.1039/c7ra04407k","ISSN":"20462069","abstract":"A range of α-aminophosphonates were accessed in high yields and very rapidly, using solvate ionic liquids as the reaction media. Reactions typically required less than 10 minutes to go to completion and precipitation of these products into water excludes the use of traditional work up procedures, giving the products in very high crude purity. Excellent functional group tolerance for both the aldehyde and amine reaction partners was observed, and a range of bis-aminophosphonates derived from aromatic diamines were also accessed in high yield and purity.","author":[{"dropping-particle":"","family":"Eyckens","given":"Daniel J.","non-dropping-particle":"","parse-names":false,"suffix":""},{"dropping-particle":"","family":"Henderson","given":"Luke C.","non-dropping-particle":"","parse-names":false,"suffix":""}],"container-title":"RSC Advances","id":"ITEM-1","issue":"45","issued":{"date-parts":[["2017"]]},"page":"27900-27904","publisher":"Royal Society of Chemistry","title":"Synthesis of α-aminophosphonates using solvate ionic liquids","type":"article-journal","volume":"7"},"uris":["http://www.mendeley.com/documents/?uuid=d611baba-a199-4c12-bc9a-ae58a5fa65db"]}],"mendeley":{"formattedCitation":"&lt;sup&gt;28&lt;/sup&gt;","plainTextFormattedCitation":"28","previouslyFormattedCitation":"&lt;sup&gt;28&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28</w:t>
      </w:r>
      <w:r w:rsidRPr="00905DD7">
        <w:rPr>
          <w:lang w:val="en-GB"/>
        </w:rPr>
        <w:fldChar w:fldCharType="end"/>
      </w:r>
      <w:r w:rsidRPr="00905DD7">
        <w:rPr>
          <w:lang w:val="en-GB"/>
        </w:rPr>
        <w:t xml:space="preserve"> stereo- and regioselective ring opening of epoxides,</w:t>
      </w:r>
      <w:r w:rsidRPr="00905DD7">
        <w:rPr>
          <w:lang w:val="en-GB"/>
        </w:rPr>
        <w:fldChar w:fldCharType="begin" w:fldLock="1"/>
      </w:r>
      <w:r w:rsidR="0026470D">
        <w:rPr>
          <w:lang w:val="en-GB"/>
        </w:rPr>
        <w:instrText>ADDIN CSL_CITATION {"citationItems":[{"id":"ITEM-1","itemData":{"DOI":"10.3390/molecules24162946","ISSN":"14203049","PMID":"31416186","abstract":"Carba analogues of biologically relevant natural carbohydrates are promising structures for the development of future drugs endowed with enhanced hydrolytic stability. An open synthetic challenge in this field is the optimization of new methodologies for the stereo- and regioselective opening of α-gluco carbasugar 1,2-epoxides that allow for the preparation of pseudo mono- and disaccharides of great interest. Therefore, we investigated the effect of Lewis acids and solvate ionic liquids (SILs) on the epoxide ring opening of a model substrate. Of particular interest was the complete stereo- and regioselectivity, albeit limited to simple nucleophiles, toward the desired C(1) isomer that was observed using LiClO4. The results obtained with SILs were also remarkable. In particular, Li[NTf2]/tetraglyme ([Li(G4)]TFSI) was able to function as a Lewis acid and to direct the attack of the nucleophile preferentially at the pseudo anomeric position, even with a more complex and synthetically interesting nucleophile. The regioselectivity observed for LiClO4 and [Li(G4)]TFSI was tentatively ascribed to the formation of a bidentate chelating system, which changed the conformational equilibrium and ultimately permitted a trans-diaxial attack on C(1). To the best of our knowledge, we report here the first case in which SILs were successfully employed in a ring-opening process of epoxides.","author":[{"dropping-particle":"","family":"Pietro","given":"Sebastiano","non-dropping-particle":"Di","parse-names":false,"suffix":""},{"dropping-particle":"","family":"Bordoni","given":"Vittorio","non-dropping-particle":"","parse-names":false,"suffix":""},{"dropping-particle":"","family":"Mezzetta","given":"Andrea","non-dropping-particle":"","parse-names":false,"suffix":""},{"dropping-particle":"","family":"Chiappe","given":"Cinzia","non-dropping-particle":"","parse-names":false,"suffix":""},{"dropping-particle":"","family":"Signore","given":"Giovanni","non-dropping-particle":"","parse-names":false,"suffix":""},{"dropping-particle":"","family":"Guazzelli","given":"Lorenzo","non-dropping-particle":"","parse-names":false,"suffix":""},{"dropping-particle":"","family":"Bussolo","given":"Valeria","non-dropping-particle":"Di","parse-names":false,"suffix":""}],"container-title":"Molecules","id":"ITEM-1","issue":"16","issued":{"date-parts":[["2019","8","14"]]},"page":"1-9","publisher":"MDPI AG","title":"Remarkable effect of [Li(G4)]TFSI solvate ionic liquid (SIL) on the regio- And stereoselective ring opening of α-gluco carbasugar 1,2-epoxides","type":"article-journal","volume":"24"},"uris":["http://www.mendeley.com/documents/?uuid=8e0da401-94c3-3fc8-9b55-052143cc6179"]}],"mendeley":{"formattedCitation":"&lt;sup&gt;29&lt;/sup&gt;","plainTextFormattedCitation":"29","previouslyFormattedCitation":"&lt;sup&gt;29&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29</w:t>
      </w:r>
      <w:r w:rsidRPr="00905DD7">
        <w:rPr>
          <w:lang w:val="en-GB"/>
        </w:rPr>
        <w:fldChar w:fldCharType="end"/>
      </w:r>
      <w:r w:rsidRPr="00905DD7">
        <w:rPr>
          <w:lang w:val="en-GB"/>
        </w:rPr>
        <w:t xml:space="preserve"> and catalytic additives for curing epoxy systems.</w:t>
      </w:r>
      <w:r w:rsidRPr="00905DD7">
        <w:rPr>
          <w:lang w:val="en-GB"/>
        </w:rPr>
        <w:fldChar w:fldCharType="begin" w:fldLock="1"/>
      </w:r>
      <w:r w:rsidR="0026470D">
        <w:rPr>
          <w:lang w:val="en-GB"/>
        </w:rPr>
        <w:instrText>ADDIN CSL_CITATION {"citationItems":[{"id":"ITEM-1","itemData":{"DOI":"10.1021/acsapm.0c00257","ISSN":"26376105","abstract":"The high-volume manufacture of fiber-reinforced composites faces a huge challenge because long resin curing times put a low ceiling on the total output of parts produced per year. To translate the benefits from using epoxy in large-volume production platforms, cure cycle times of less than 1 min must be achieved. In this work, we report solvate ionic liquids (SILs) as simple and efficient rapid curing catalytic additives in epoxy systems. Ultrafast curing was observed at low levels of 1-5% of SIL in epoxy resin, and the cure rate is enhanced up to 26-fold without compromising the mechanical and thermal properties. Further investigations revealed that enhancement in the cure rate is dependent on the type of SILs employed, influenced by the metal center, the ligands around the metal, and the identity of the counter anion. The relative Lewis acidity of each of the active complexes was calculated, and the rapid cure effect was attributed to the activation of the epoxide moietyviathe Lewis acidic nature of the SIL. Making epoxy thermosets rapidly processable enables enormous benefits, finding applications in a whole variety of transformation methods that exist for traditional glass and metals.","author":[{"dropping-particle":"","family":"Hameed","given":"Nishar","non-dropping-particle":"","parse-names":false,"suffix":""},{"dropping-particle":"","family":"Eyckens","given":"Daniel J.","non-dropping-particle":"","parse-names":false,"suffix":""},{"dropping-particle":"","family":"Long","given":"Benjamin M.","non-dropping-particle":"","parse-names":false,"suffix":""},{"dropping-particle":"V.","family":"Salim","given":"Nisa","non-dropping-particle":"","parse-names":false,"suffix":""},{"dropping-particle":"","family":"Capricho","given":"Jaworski C.","non-dropping-particle":"","parse-names":false,"suffix":""},{"dropping-particle":"","family":"Servinis","given":"Linden","non-dropping-particle":"","parse-names":false,"suffix":""},{"dropping-particle":"","family":"Souza","given":"Mandy","non-dropping-particle":"De","parse-names":false,"suffix":""},{"dropping-particle":"","family":"Perus","given":"Magenta D.","non-dropping-particle":"","parse-names":false,"suffix":""},{"dropping-particle":"","family":"Varley","given":"Russell J.","non-dropping-particle":"","parse-names":false,"suffix":""},{"dropping-particle":"","family":"Henderson","given":"Luke C.","non-dropping-particle":"","parse-names":false,"suffix":""}],"container-title":"ACS Applied Polymer Materials","id":"ITEM-1","issue":"7","issued":{"date-parts":[["2020","6","19"]]},"page":"2651-2657","publisher":"American Chemical Society (ACS)","title":"Rapid Cross-Linking of Epoxy Thermosets Induced by Solvate Ionic Liquids","type":"article-journal","volume":"2"},"uris":["http://www.mendeley.com/documents/?uuid=43006a77-6f44-3a13-bdb2-a02c877dfc88"]}],"mendeley":{"formattedCitation":"&lt;sup&gt;30&lt;/sup&gt;","plainTextFormattedCitation":"30","previouslyFormattedCitation":"&lt;sup&gt;30&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30</w:t>
      </w:r>
      <w:r w:rsidRPr="00905DD7">
        <w:rPr>
          <w:lang w:val="en-GB"/>
        </w:rPr>
        <w:fldChar w:fldCharType="end"/>
      </w:r>
      <w:r w:rsidRPr="00905DD7">
        <w:rPr>
          <w:lang w:val="en-GB"/>
        </w:rPr>
        <w:t xml:space="preserve"> </w:t>
      </w:r>
      <w:r w:rsidR="00245F43">
        <w:rPr>
          <w:lang w:val="en-GB"/>
        </w:rPr>
        <w:t>Importantly for this work</w:t>
      </w:r>
      <w:r w:rsidRPr="00905DD7">
        <w:rPr>
          <w:lang w:val="en-GB"/>
        </w:rPr>
        <w:t xml:space="preserve">, all catalytic studies to date have been focussed on Li-based SILs, a weak Lewis acid. Although SILs based on Na, K, Mg and Al are known, they have only been used in energy storage </w:t>
      </w:r>
      <w:r w:rsidRPr="000C0F4F">
        <w:rPr>
          <w:lang w:val="en-GB"/>
        </w:rPr>
        <w:t>applications.</w:t>
      </w:r>
      <w:r w:rsidRPr="000C0F4F">
        <w:rPr>
          <w:lang w:val="en-GB"/>
        </w:rPr>
        <w:fldChar w:fldCharType="begin" w:fldLock="1"/>
      </w:r>
      <w:r w:rsidR="0026470D">
        <w:rPr>
          <w:lang w:val="en-GB"/>
        </w:rPr>
        <w:instrText>ADDIN CSL_CITATION {"citationItems":[{"id":"ITEM-1","itemData":{"DOI":"10.1002/tcr.201800111","ISSN":"15280691","abstract":"From the viewpoint of element strategy, non-Li batteries with promising negative and positive electrodes have been widely studied to support a sustainable society. To develop non-Li batteries having high energy density, research on electrolyte materials is pivotal. Solvate ionic liquids (SILs) are an emerging class of electrolytes possessing somewhat superior properties for battery applications compared to conventional ionic liquid electrolytes. In this account, we describe our recent efforts regarding SIL-based electrolytes for Li, Na, K, and Mg batteries with respect to structural, physicochemical, and electrochemical characteristics. Systematic studies based on crystallography and Raman spectroscopy combined with thermal/electrochemical stability analysis showed that the balance of competitive cation−anion and cation−solvent interactions predominates the stability of the solvate cations. We also demonstrated battery applications of SILs as electrolytes for non-Li batteries, particularly for Na batteries.","author":[{"dropping-particle":"","family":"Mandai","given":"Toshihiko","non-dropping-particle":"","parse-names":false,"suffix":""},{"dropping-particle":"","family":"Dokko","given":"Kaoru","non-dropping-particle":"","parse-names":false,"suffix":""},{"dropping-particle":"","family":"Watanabe","given":"Masayoshi","non-dropping-particle":"","parse-names":false,"suffix":""}],"container-title":"Chemical Record","id":"ITEM-1","issue":"4","issued":{"date-parts":[["2019"]]},"page":"708-722","title":"Solvate Ionic Liquids for Li, Na, K, and Mg Batteries","type":"article-journal","volume":"19"},"uris":["http://www.mendeley.com/documents/?uuid=1873df8e-7b40-4f12-9050-4942df40627c"]},{"id":"ITEM-2","itemData":{"DOI":"10.1016/j.gee.2018.10.003","ISSN":"24680257","abstract":"The electrochemical reversibility of Mg in hybrid electrolytes based on mixtures of ionic liquid and glyme based organic solvents was investigated for applications in rechargeable magnesium batteries (RMBs). The electrolytes demonstrate reversible reduction and oxidation of Mg only after being pre-treated with the dehydrating agent, magnesium borohydride, Mg[BH 4 ] 2 , highlighting the importance of removing water in Mg based electrolytes. The addition magnesium di[bis(trifluoromethanesulfonyl)imide] (Mg[TFSI] 2 ) (0.3 M) to N-butyl-n-methyl-pyrrolidinium bis(trifluoromethanesulfonyl)imide [C4mpyr][TFSI]/tetraglyme at a mole ratio of 1:2 showed stable CV cycling over almost 300 cycles while scanning electron microscopy (SEM) and X-ray diffraction (XRD) confirmed Mg deposition, showing non-dendritic morphology and a well-aligned growth. Further thermogravimetric analysis (TGA) demonstrated a mass retention of 79% at 250 °C for this electrolyte suggesting that the presence of the ionic liquid increases thermal stability substantially making these hybrid electrolytes compatible for RMBs.","author":[{"dropping-particle":"","family":"Ma","given":"Zheng","non-dropping-particle":"","parse-names":false,"suffix":""},{"dropping-particle":"","family":"Forsyth","given":"Maria","non-dropping-particle":"","parse-names":false,"suffix":""},{"dropping-particle":"","family":"MacFarlane","given":"Douglas R.","non-dropping-particle":"","parse-names":false,"suffix":""},{"dropping-particle":"","family":"Kar","given":"Mega","non-dropping-particle":"","parse-names":false,"suffix":""}],"container-title":"Green Energy and Environment","id":"ITEM-2","issue":"2","issued":{"date-parts":[["2019","4","1"]]},"page":"146-153","publisher":"KeAi Publishing Communications Ltd.","title":"Ionic liquid/tetraglyme hybrid Mg[TFSI] 2 electrolytes for rechargeable Mg batteries","type":"article-journal","volume":"4"},"uris":["http://www.mendeley.com/documents/?uuid=05b78b1c-f41e-353d-845e-25967dbf8f09"]}],"mendeley":{"formattedCitation":"&lt;sup&gt;31,32&lt;/sup&gt;","plainTextFormattedCitation":"31,32","previouslyFormattedCitation":"&lt;sup&gt;31,32&lt;/sup&gt;"},"properties":{"noteIndex":0},"schema":"https://github.com/citation-style-language/schema/raw/master/csl-citation.json"}</w:instrText>
      </w:r>
      <w:r w:rsidRPr="000C0F4F">
        <w:rPr>
          <w:lang w:val="en-GB"/>
        </w:rPr>
        <w:fldChar w:fldCharType="separate"/>
      </w:r>
      <w:r w:rsidR="0026470D" w:rsidRPr="0026470D">
        <w:rPr>
          <w:noProof/>
          <w:vertAlign w:val="superscript"/>
          <w:lang w:val="en-GB"/>
        </w:rPr>
        <w:t>31,32</w:t>
      </w:r>
      <w:r w:rsidRPr="000C0F4F">
        <w:rPr>
          <w:lang w:val="en-GB"/>
        </w:rPr>
        <w:fldChar w:fldCharType="end"/>
      </w:r>
      <w:r w:rsidRPr="000C0F4F">
        <w:rPr>
          <w:lang w:val="en-GB"/>
        </w:rPr>
        <w:t xml:space="preserve"> </w:t>
      </w:r>
    </w:p>
    <w:p w14:paraId="0C883285" w14:textId="33FD0B6F" w:rsidR="00E07B9B" w:rsidRPr="00CD7BC2" w:rsidRDefault="00C9420D" w:rsidP="0004233C">
      <w:pPr>
        <w:pStyle w:val="RSCB02ArticleText"/>
        <w:ind w:firstLine="284"/>
        <w:rPr>
          <w:lang w:val="en-GB"/>
        </w:rPr>
      </w:pPr>
      <w:r w:rsidRPr="0089132E">
        <w:rPr>
          <w:lang w:val="en-GB"/>
        </w:rPr>
        <w:t xml:space="preserve">In this contribution, we </w:t>
      </w:r>
      <w:r w:rsidRPr="0004233C">
        <w:rPr>
          <w:lang w:val="en-GB"/>
        </w:rPr>
        <w:t>combine</w:t>
      </w:r>
      <w:r w:rsidR="000C0F4F">
        <w:rPr>
          <w:lang w:val="en-GB"/>
        </w:rPr>
        <w:t>d</w:t>
      </w:r>
      <w:r w:rsidRPr="0004233C">
        <w:rPr>
          <w:lang w:val="en-GB"/>
        </w:rPr>
        <w:t xml:space="preserve"> our expertise in the design and study of Lewis acidic LCCs and ILs, with the potential offered by the solvate ionic liquids design, to</w:t>
      </w:r>
      <w:r w:rsidR="00E07B9B" w:rsidRPr="0004233C">
        <w:rPr>
          <w:lang w:val="en-GB"/>
        </w:rPr>
        <w:t xml:space="preserve"> </w:t>
      </w:r>
      <w:r w:rsidRPr="0004233C">
        <w:rPr>
          <w:lang w:val="en-GB"/>
        </w:rPr>
        <w:t xml:space="preserve">report </w:t>
      </w:r>
      <w:r w:rsidR="00A07D11" w:rsidRPr="0004233C">
        <w:rPr>
          <w:lang w:val="en-GB"/>
        </w:rPr>
        <w:t xml:space="preserve">a series of </w:t>
      </w:r>
      <w:r w:rsidR="000C0F4F" w:rsidRPr="00D04163">
        <w:rPr>
          <w:lang w:val="en-GB"/>
        </w:rPr>
        <w:t xml:space="preserve">solvate ionic liquids </w:t>
      </w:r>
      <w:r w:rsidR="000C0F4F" w:rsidRPr="0069429B">
        <w:rPr>
          <w:lang w:val="en-GB"/>
        </w:rPr>
        <w:t>based</w:t>
      </w:r>
      <w:r w:rsidR="000C0F4F">
        <w:rPr>
          <w:lang w:val="en-GB"/>
        </w:rPr>
        <w:t xml:space="preserve"> on</w:t>
      </w:r>
      <w:r w:rsidR="000C0F4F" w:rsidRPr="0069429B">
        <w:rPr>
          <w:lang w:val="en-GB"/>
        </w:rPr>
        <w:t xml:space="preserve"> </w:t>
      </w:r>
      <w:r w:rsidR="000C0F4F" w:rsidRPr="00EE22FC">
        <w:rPr>
          <w:lang w:val="en-GB"/>
        </w:rPr>
        <w:t xml:space="preserve">triflate salts </w:t>
      </w:r>
      <w:r w:rsidR="000C0F4F">
        <w:rPr>
          <w:lang w:val="en-GB"/>
        </w:rPr>
        <w:t xml:space="preserve">of </w:t>
      </w:r>
      <w:r w:rsidR="00A07D11" w:rsidRPr="0004233C">
        <w:rPr>
          <w:lang w:val="en-GB"/>
        </w:rPr>
        <w:t xml:space="preserve">aluminium and gallium and triglyme (G3). We </w:t>
      </w:r>
      <w:r w:rsidR="00E07B9B" w:rsidRPr="0004233C">
        <w:rPr>
          <w:lang w:val="en-GB"/>
        </w:rPr>
        <w:t>delved</w:t>
      </w:r>
      <w:r w:rsidR="00A07D11" w:rsidRPr="0004233C">
        <w:rPr>
          <w:lang w:val="en-GB"/>
        </w:rPr>
        <w:t xml:space="preserve"> into the </w:t>
      </w:r>
      <w:r w:rsidR="00E07B9B" w:rsidRPr="0004233C">
        <w:rPr>
          <w:lang w:val="en-GB"/>
        </w:rPr>
        <w:t>speciation of these materials using multinuclear NMR</w:t>
      </w:r>
      <w:r w:rsidR="000C0F4F">
        <w:rPr>
          <w:lang w:val="en-GB"/>
        </w:rPr>
        <w:t xml:space="preserve"> spectroscopy</w:t>
      </w:r>
      <w:r w:rsidR="00E07B9B" w:rsidRPr="0004233C">
        <w:rPr>
          <w:lang w:val="en-GB"/>
        </w:rPr>
        <w:t xml:space="preserve"> and probed their acidity with Gutmann Acceptor number (AN). Our investigation revealed intricate speciation patterns and strong Lewis acidity of these </w:t>
      </w:r>
      <w:r w:rsidR="000C0F4F">
        <w:rPr>
          <w:lang w:val="en-GB"/>
        </w:rPr>
        <w:t xml:space="preserve">new </w:t>
      </w:r>
      <w:r w:rsidR="00E07B9B" w:rsidRPr="0004233C">
        <w:rPr>
          <w:lang w:val="en-GB"/>
        </w:rPr>
        <w:t>Group 13 SILs, demonstrat</w:t>
      </w:r>
      <w:r w:rsidR="000C0F4F">
        <w:rPr>
          <w:lang w:val="en-GB"/>
        </w:rPr>
        <w:t>ed</w:t>
      </w:r>
      <w:r w:rsidR="00E07B9B" w:rsidRPr="0004233C">
        <w:rPr>
          <w:lang w:val="en-GB"/>
        </w:rPr>
        <w:t xml:space="preserve"> </w:t>
      </w:r>
      <w:r w:rsidR="000C0F4F">
        <w:rPr>
          <w:lang w:val="en-GB"/>
        </w:rPr>
        <w:t>directly through a</w:t>
      </w:r>
      <w:r w:rsidR="00E07B9B" w:rsidRPr="0004233C">
        <w:rPr>
          <w:lang w:val="en-GB"/>
        </w:rPr>
        <w:t xml:space="preserve"> catalytic application in</w:t>
      </w:r>
      <w:r w:rsidR="000C0F4F">
        <w:rPr>
          <w:lang w:val="en-GB"/>
        </w:rPr>
        <w:t xml:space="preserve"> a model</w:t>
      </w:r>
      <w:r w:rsidR="00E07B9B" w:rsidRPr="0004233C">
        <w:rPr>
          <w:lang w:val="en-GB"/>
        </w:rPr>
        <w:t xml:space="preserve"> [3+3] cycloaddition reaction. The study highlights notable differences in the coordination chemistry and Lewis acidity </w:t>
      </w:r>
      <w:r w:rsidR="000C0F4F">
        <w:rPr>
          <w:lang w:val="en-GB"/>
        </w:rPr>
        <w:t>of</w:t>
      </w:r>
      <w:r w:rsidR="000C0F4F" w:rsidRPr="0004233C">
        <w:rPr>
          <w:lang w:val="en-GB"/>
        </w:rPr>
        <w:t xml:space="preserve"> </w:t>
      </w:r>
      <w:r w:rsidR="00E07B9B" w:rsidRPr="0004233C">
        <w:rPr>
          <w:lang w:val="en-GB"/>
        </w:rPr>
        <w:t xml:space="preserve">Al-SILs and Ga-SILs, providing new insights into </w:t>
      </w:r>
      <w:r w:rsidR="000C0F4F">
        <w:rPr>
          <w:lang w:val="en-GB"/>
        </w:rPr>
        <w:t>the chemistry of Group 13 metals</w:t>
      </w:r>
      <w:r w:rsidR="00E07B9B" w:rsidRPr="0004233C">
        <w:rPr>
          <w:lang w:val="en-GB"/>
        </w:rPr>
        <w:t xml:space="preserve">. </w:t>
      </w:r>
      <w:r w:rsidR="00E07B9B" w:rsidRPr="00CD7BC2">
        <w:rPr>
          <w:lang w:val="en-GB"/>
        </w:rPr>
        <w:t xml:space="preserve"> </w:t>
      </w:r>
    </w:p>
    <w:p w14:paraId="668DB4B8" w14:textId="2D7FF7B9" w:rsidR="00FA2DA2" w:rsidRPr="00905DD7" w:rsidRDefault="00FA2DA2" w:rsidP="00FA2DA2">
      <w:pPr>
        <w:pStyle w:val="RSCB04AHeadingSection"/>
      </w:pPr>
      <w:r w:rsidRPr="00905DD7">
        <w:t>Experimental</w:t>
      </w:r>
    </w:p>
    <w:p w14:paraId="53EB1060" w14:textId="68F5D5DC" w:rsidR="000A2CEA" w:rsidRPr="00905DD7" w:rsidRDefault="000A2CEA" w:rsidP="000A2CEA">
      <w:pPr>
        <w:pStyle w:val="RSCB06BHeadingSub-Section"/>
        <w:rPr>
          <w:bCs/>
        </w:rPr>
      </w:pPr>
      <w:r w:rsidRPr="00905DD7">
        <w:rPr>
          <w:bCs/>
        </w:rPr>
        <w:t>Materials</w:t>
      </w:r>
    </w:p>
    <w:p w14:paraId="64E43C38" w14:textId="3F210B49" w:rsidR="001011D8" w:rsidRDefault="000A2CEA" w:rsidP="001011D8">
      <w:pPr>
        <w:pStyle w:val="RSCB02ArticleText"/>
        <w:rPr>
          <w:lang w:val="en-GB"/>
        </w:rPr>
      </w:pPr>
      <w:r w:rsidRPr="00905DD7">
        <w:rPr>
          <w:lang w:val="en-GB"/>
        </w:rPr>
        <w:t xml:space="preserve">Aluminium(III) </w:t>
      </w:r>
      <w:proofErr w:type="spellStart"/>
      <w:r w:rsidRPr="00905DD7">
        <w:rPr>
          <w:lang w:val="en-GB"/>
        </w:rPr>
        <w:t>trifluoromethanesulfonate</w:t>
      </w:r>
      <w:proofErr w:type="spellEnd"/>
      <w:r w:rsidRPr="00905DD7">
        <w:rPr>
          <w:lang w:val="en-GB"/>
        </w:rPr>
        <w:t xml:space="preserve">  (99.9%), </w:t>
      </w:r>
      <w:proofErr w:type="spellStart"/>
      <w:r w:rsidRPr="00905DD7">
        <w:rPr>
          <w:lang w:val="en-GB"/>
        </w:rPr>
        <w:t>triethylene</w:t>
      </w:r>
      <w:proofErr w:type="spellEnd"/>
      <w:r w:rsidRPr="00905DD7">
        <w:rPr>
          <w:lang w:val="en-GB"/>
        </w:rPr>
        <w:t xml:space="preserve"> glycol dimethyl ether (99%), </w:t>
      </w:r>
      <w:proofErr w:type="spellStart"/>
      <w:r w:rsidRPr="00905DD7">
        <w:rPr>
          <w:lang w:val="en-GB"/>
        </w:rPr>
        <w:t>triethylphosphine</w:t>
      </w:r>
      <w:proofErr w:type="spellEnd"/>
      <w:r w:rsidRPr="00905DD7">
        <w:rPr>
          <w:lang w:val="en-GB"/>
        </w:rPr>
        <w:t xml:space="preserve"> oxide (97%), decane (99%)</w:t>
      </w:r>
      <w:r w:rsidR="00DB1C8E" w:rsidRPr="00905DD7">
        <w:rPr>
          <w:lang w:val="en-GB"/>
        </w:rPr>
        <w:t xml:space="preserve"> </w:t>
      </w:r>
      <w:r w:rsidRPr="00905DD7">
        <w:rPr>
          <w:lang w:val="en-GB"/>
        </w:rPr>
        <w:t>and isoprene (99%, contains &lt;1000 ppm p-tert-butylcatechol as inhibitor</w:t>
      </w:r>
      <w:r w:rsidRPr="00BB1181">
        <w:rPr>
          <w:lang w:val="en-GB"/>
        </w:rPr>
        <w:t>)</w:t>
      </w:r>
      <w:r w:rsidR="00FA2DEF" w:rsidRPr="00BB1181">
        <w:rPr>
          <w:lang w:val="en-GB"/>
        </w:rPr>
        <w:t>, trimethylaluminum</w:t>
      </w:r>
      <w:r w:rsidRPr="00BB1181">
        <w:rPr>
          <w:lang w:val="en-GB"/>
        </w:rPr>
        <w:t xml:space="preserve"> </w:t>
      </w:r>
      <w:r w:rsidR="00FA2DEF" w:rsidRPr="00BB1181">
        <w:rPr>
          <w:lang w:val="en-GB"/>
        </w:rPr>
        <w:t xml:space="preserve">solution 2.0M in toluene, anhydrous toluene (99.8%) </w:t>
      </w:r>
      <w:proofErr w:type="gramStart"/>
      <w:r w:rsidRPr="00BB1181">
        <w:rPr>
          <w:lang w:val="en-GB"/>
        </w:rPr>
        <w:t>were</w:t>
      </w:r>
      <w:proofErr w:type="gramEnd"/>
      <w:r w:rsidRPr="00905DD7">
        <w:rPr>
          <w:lang w:val="en-GB"/>
        </w:rPr>
        <w:t xml:space="preserve"> all purchased from Sigma Aldrich and used as received. </w:t>
      </w:r>
      <w:r w:rsidR="00D4443C">
        <w:rPr>
          <w:lang w:val="en-GB"/>
        </w:rPr>
        <w:t>P</w:t>
      </w:r>
      <w:r w:rsidRPr="00905DD7">
        <w:rPr>
          <w:lang w:val="en-GB"/>
        </w:rPr>
        <w:t xml:space="preserve">hosphoric(V) acid </w:t>
      </w:r>
      <w:r w:rsidR="00D4443C">
        <w:rPr>
          <w:lang w:val="en-GB"/>
        </w:rPr>
        <w:t>(</w:t>
      </w:r>
      <w:r w:rsidR="00D4443C" w:rsidRPr="00905DD7">
        <w:rPr>
          <w:lang w:val="en-GB"/>
        </w:rPr>
        <w:t xml:space="preserve">85% </w:t>
      </w:r>
      <w:r w:rsidRPr="00905DD7">
        <w:rPr>
          <w:lang w:val="en-GB"/>
        </w:rPr>
        <w:t xml:space="preserve">in </w:t>
      </w:r>
      <w:r w:rsidRPr="00905DD7">
        <w:rPr>
          <w:lang w:val="en-GB"/>
        </w:rPr>
        <w:t>D</w:t>
      </w:r>
      <w:r w:rsidRPr="00905DD7">
        <w:rPr>
          <w:vertAlign w:val="subscript"/>
          <w:lang w:val="en-GB"/>
        </w:rPr>
        <w:t>2</w:t>
      </w:r>
      <w:r w:rsidRPr="00905DD7">
        <w:rPr>
          <w:lang w:val="en-GB"/>
        </w:rPr>
        <w:t>O</w:t>
      </w:r>
      <w:r w:rsidR="00D4443C">
        <w:rPr>
          <w:lang w:val="en-GB"/>
        </w:rPr>
        <w:t>)</w:t>
      </w:r>
      <w:r w:rsidRPr="00905DD7">
        <w:rPr>
          <w:lang w:val="en-GB"/>
        </w:rPr>
        <w:t xml:space="preserve"> was also purchased from Sigma Aldrich. 2,4</w:t>
      </w:r>
      <w:r w:rsidRPr="00905DD7">
        <w:rPr>
          <w:lang w:val="en-GB"/>
        </w:rPr>
        <w:noBreakHyphen/>
        <w:t xml:space="preserve">Dimethylphenol (99%) and gallium(III) </w:t>
      </w:r>
      <w:proofErr w:type="spellStart"/>
      <w:r w:rsidRPr="00905DD7">
        <w:rPr>
          <w:lang w:val="en-GB"/>
        </w:rPr>
        <w:t>trifluoromethanesulfonate</w:t>
      </w:r>
      <w:proofErr w:type="spellEnd"/>
      <w:r w:rsidRPr="00905DD7">
        <w:rPr>
          <w:lang w:val="en-GB"/>
        </w:rPr>
        <w:t xml:space="preserve"> (99%) </w:t>
      </w:r>
      <w:r w:rsidR="00D4443C">
        <w:rPr>
          <w:lang w:val="en-GB"/>
        </w:rPr>
        <w:t>were</w:t>
      </w:r>
      <w:r w:rsidR="00D4443C" w:rsidRPr="00905DD7">
        <w:rPr>
          <w:lang w:val="en-GB"/>
        </w:rPr>
        <w:t xml:space="preserve"> </w:t>
      </w:r>
      <w:r w:rsidRPr="00905DD7">
        <w:rPr>
          <w:lang w:val="en-GB"/>
        </w:rPr>
        <w:t xml:space="preserve">purchased from </w:t>
      </w:r>
      <w:proofErr w:type="spellStart"/>
      <w:r w:rsidRPr="00905DD7">
        <w:rPr>
          <w:lang w:val="en-GB"/>
        </w:rPr>
        <w:t>Thermo</w:t>
      </w:r>
      <w:proofErr w:type="spellEnd"/>
      <w:r w:rsidRPr="00905DD7">
        <w:rPr>
          <w:lang w:val="en-GB"/>
        </w:rPr>
        <w:t xml:space="preserve"> Fisher Scientific. </w:t>
      </w:r>
    </w:p>
    <w:p w14:paraId="36470352" w14:textId="1B5D49C8" w:rsidR="000A2CEA" w:rsidRPr="00905DD7" w:rsidRDefault="000A2CEA" w:rsidP="000A2CEA">
      <w:pPr>
        <w:pStyle w:val="RSCB06BHeadingSub-Section"/>
      </w:pPr>
      <w:r w:rsidRPr="00905DD7">
        <w:t xml:space="preserve">General </w:t>
      </w:r>
      <w:bookmarkStart w:id="3" w:name="_Hlk174390601"/>
      <w:r w:rsidRPr="00905DD7">
        <w:t xml:space="preserve">procedure for synthesis of </w:t>
      </w:r>
      <w:bookmarkEnd w:id="3"/>
      <w:r w:rsidRPr="00905DD7">
        <w:t>SILs</w:t>
      </w:r>
    </w:p>
    <w:p w14:paraId="6F923BA7" w14:textId="77777777" w:rsidR="00E731A3" w:rsidRDefault="000A2CEA" w:rsidP="001011D8">
      <w:pPr>
        <w:pStyle w:val="RSCB02ArticleText"/>
        <w:rPr>
          <w:lang w:val="en-GB"/>
        </w:rPr>
      </w:pPr>
      <w:r w:rsidRPr="00905DD7">
        <w:rPr>
          <w:lang w:val="en-GB"/>
        </w:rPr>
        <w:t xml:space="preserve">The SILs were synthesized in a glovebox </w:t>
      </w:r>
      <w:r w:rsidR="000C0F4F">
        <w:rPr>
          <w:lang w:val="en-GB"/>
        </w:rPr>
        <w:t>under an</w:t>
      </w:r>
      <w:r w:rsidR="000C0F4F" w:rsidRPr="00905DD7">
        <w:rPr>
          <w:lang w:val="en-GB"/>
        </w:rPr>
        <w:t xml:space="preserve"> </w:t>
      </w:r>
      <w:r w:rsidRPr="00905DD7">
        <w:rPr>
          <w:lang w:val="en-GB"/>
        </w:rPr>
        <w:t>inert argon atmosphere (&lt;0.6 ppm O</w:t>
      </w:r>
      <w:r w:rsidRPr="00905DD7">
        <w:rPr>
          <w:vertAlign w:val="subscript"/>
          <w:lang w:val="en-GB"/>
        </w:rPr>
        <w:t>2</w:t>
      </w:r>
      <w:r w:rsidRPr="00905DD7">
        <w:rPr>
          <w:lang w:val="en-GB"/>
        </w:rPr>
        <w:t xml:space="preserve"> and H</w:t>
      </w:r>
      <w:r w:rsidRPr="00905DD7">
        <w:rPr>
          <w:vertAlign w:val="subscript"/>
          <w:lang w:val="en-GB"/>
        </w:rPr>
        <w:t>2</w:t>
      </w:r>
      <w:r w:rsidRPr="00905DD7">
        <w:rPr>
          <w:lang w:val="en-GB"/>
        </w:rPr>
        <w:t>O). The triglyme</w:t>
      </w:r>
      <w:r w:rsidR="00A07D11">
        <w:rPr>
          <w:lang w:val="en-GB"/>
        </w:rPr>
        <w:t xml:space="preserve"> (G3)</w:t>
      </w:r>
      <w:r w:rsidRPr="00905DD7">
        <w:rPr>
          <w:lang w:val="en-GB"/>
        </w:rPr>
        <w:t xml:space="preserve"> and appropriate metal salt M(</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(Al(</w:t>
      </w:r>
      <w:proofErr w:type="spellStart"/>
      <w:r w:rsidRPr="00905DD7">
        <w:rPr>
          <w:lang w:val="en-GB"/>
        </w:rPr>
        <w:t>OTf</w:t>
      </w:r>
      <w:proofErr w:type="spellEnd"/>
      <w:r w:rsidRPr="00905DD7">
        <w:rPr>
          <w:lang w:val="en-GB"/>
        </w:rPr>
        <w:t>)</w:t>
      </w:r>
      <w:r w:rsidRPr="00905DD7">
        <w:rPr>
          <w:vertAlign w:val="subscript"/>
          <w:lang w:val="en-GB"/>
        </w:rPr>
        <w:t xml:space="preserve">3 </w:t>
      </w:r>
      <w:r w:rsidRPr="00905DD7">
        <w:rPr>
          <w:lang w:val="en-GB"/>
        </w:rPr>
        <w:t>or 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w:t>
      </w:r>
      <w:r w:rsidR="00E731A3">
        <w:rPr>
          <w:lang w:val="en-GB"/>
        </w:rPr>
        <w:t>w</w:t>
      </w:r>
      <w:r w:rsidRPr="00905DD7">
        <w:rPr>
          <w:lang w:val="en-GB"/>
        </w:rPr>
        <w:t>ere weighed into a vial at various molar ratios from 2:1 to 10:1 (</w:t>
      </w:r>
      <w:bookmarkStart w:id="4" w:name="_Hlk162037496"/>
      <w:proofErr w:type="spellStart"/>
      <w:r w:rsidRPr="00905DD7">
        <w:rPr>
          <w:i/>
          <w:iCs/>
          <w:lang w:val="en-GB"/>
        </w:rPr>
        <w:t>χ</w:t>
      </w:r>
      <w:bookmarkEnd w:id="4"/>
      <w:r w:rsidRPr="006218B7">
        <w:rPr>
          <w:vertAlign w:val="subscript"/>
          <w:lang w:val="en-GB"/>
        </w:rPr>
        <w:t>M</w:t>
      </w:r>
      <w:proofErr w:type="spellEnd"/>
      <w:r w:rsidRPr="006218B7">
        <w:rPr>
          <w:vertAlign w:val="subscript"/>
          <w:lang w:val="en-GB"/>
        </w:rPr>
        <w:t>(</w:t>
      </w:r>
      <w:proofErr w:type="spellStart"/>
      <w:r w:rsidRPr="006218B7">
        <w:rPr>
          <w:vertAlign w:val="subscript"/>
          <w:lang w:val="en-GB"/>
        </w:rPr>
        <w:t>OTf</w:t>
      </w:r>
      <w:proofErr w:type="spellEnd"/>
      <w:r w:rsidRPr="006218B7">
        <w:rPr>
          <w:vertAlign w:val="subscript"/>
          <w:lang w:val="en-GB"/>
        </w:rPr>
        <w:t>)</w:t>
      </w:r>
      <w:r w:rsidRPr="00905DD7">
        <w:rPr>
          <w:vertAlign w:val="subscript"/>
          <w:lang w:val="en-GB"/>
        </w:rPr>
        <w:t>3</w:t>
      </w:r>
      <w:r w:rsidRPr="00905DD7">
        <w:rPr>
          <w:lang w:val="en-GB"/>
        </w:rPr>
        <w:t xml:space="preserve"> = 0.09 - 0.33). </w:t>
      </w:r>
      <w:r w:rsidR="000C0F4F">
        <w:rPr>
          <w:lang w:val="en-GB"/>
        </w:rPr>
        <w:t>The</w:t>
      </w:r>
      <w:r w:rsidRPr="00905DD7">
        <w:rPr>
          <w:lang w:val="en-GB"/>
        </w:rPr>
        <w:t xml:space="preserve"> mixture was </w:t>
      </w:r>
      <w:r w:rsidR="000C0F4F">
        <w:rPr>
          <w:lang w:val="en-GB"/>
        </w:rPr>
        <w:t>allowed to react</w:t>
      </w:r>
      <w:r w:rsidR="009626ED">
        <w:rPr>
          <w:lang w:val="en-GB"/>
        </w:rPr>
        <w:t xml:space="preserve"> in a glovebox</w:t>
      </w:r>
      <w:r w:rsidR="000C0F4F">
        <w:rPr>
          <w:lang w:val="en-GB"/>
        </w:rPr>
        <w:t xml:space="preserve"> </w:t>
      </w:r>
      <w:r w:rsidR="000C0F4F" w:rsidRPr="0004233C">
        <w:rPr>
          <w:lang w:val="en-GB"/>
        </w:rPr>
        <w:t>(</w:t>
      </w:r>
      <w:r w:rsidR="00267BC1" w:rsidRPr="0004233C">
        <w:rPr>
          <w:lang w:val="en-GB"/>
        </w:rPr>
        <w:t>40</w:t>
      </w:r>
      <w:r w:rsidR="00267BC1" w:rsidRPr="0004233C">
        <w:rPr>
          <w:lang w:val="en-GB"/>
        </w:rPr>
        <w:noBreakHyphen/>
        <w:t>45</w:t>
      </w:r>
      <w:r w:rsidRPr="0004233C">
        <w:rPr>
          <w:lang w:val="en-GB"/>
        </w:rPr>
        <w:t>°</w:t>
      </w:r>
      <w:r w:rsidRPr="00905DD7">
        <w:rPr>
          <w:lang w:val="en-GB"/>
        </w:rPr>
        <w:t>C</w:t>
      </w:r>
      <w:r w:rsidR="000C0F4F">
        <w:rPr>
          <w:lang w:val="en-GB"/>
        </w:rPr>
        <w:t xml:space="preserve">, </w:t>
      </w:r>
      <w:r w:rsidRPr="00905DD7">
        <w:rPr>
          <w:lang w:val="en-GB"/>
        </w:rPr>
        <w:t>3 h</w:t>
      </w:r>
      <w:r w:rsidR="009626ED">
        <w:rPr>
          <w:lang w:val="en-GB"/>
        </w:rPr>
        <w:t>),</w:t>
      </w:r>
      <w:r w:rsidRPr="00905DD7">
        <w:rPr>
          <w:lang w:val="en-GB"/>
        </w:rPr>
        <w:t xml:space="preserve"> afterwards the heating was turned off and further stirred overnight.</w:t>
      </w:r>
      <w:r w:rsidR="00E731A3">
        <w:rPr>
          <w:lang w:val="en-GB"/>
        </w:rPr>
        <w:t xml:space="preserve"> </w:t>
      </w:r>
    </w:p>
    <w:p w14:paraId="4AD136D2" w14:textId="157A3B21" w:rsidR="000A2CEA" w:rsidRPr="00905DD7" w:rsidRDefault="00BB1181" w:rsidP="00BB1181">
      <w:pPr>
        <w:pStyle w:val="RSCB02ArticleText"/>
        <w:ind w:firstLine="284"/>
        <w:rPr>
          <w:lang w:val="en-GB"/>
        </w:rPr>
      </w:pPr>
      <w:r w:rsidRPr="00BB1181">
        <w:rPr>
          <w:lang w:val="en-GB"/>
        </w:rPr>
        <w:t xml:space="preserve">The same procedure was used for </w:t>
      </w:r>
      <w:r w:rsidR="00E731A3" w:rsidRPr="00BB1181">
        <w:rPr>
          <w:lang w:val="en-GB"/>
        </w:rPr>
        <w:t>Al(NTf</w:t>
      </w:r>
      <w:r w:rsidR="00E731A3" w:rsidRPr="00BB1181">
        <w:rPr>
          <w:vertAlign w:val="subscript"/>
          <w:lang w:val="en-GB"/>
        </w:rPr>
        <w:t>2</w:t>
      </w:r>
      <w:r w:rsidR="00E731A3" w:rsidRPr="00BB1181">
        <w:rPr>
          <w:lang w:val="en-GB"/>
        </w:rPr>
        <w:t>)</w:t>
      </w:r>
      <w:r w:rsidR="00E731A3" w:rsidRPr="00BB1181">
        <w:rPr>
          <w:vertAlign w:val="subscript"/>
          <w:lang w:val="en-GB"/>
        </w:rPr>
        <w:t xml:space="preserve">3 </w:t>
      </w:r>
      <w:r w:rsidRPr="00BB1181">
        <w:rPr>
          <w:lang w:val="en-GB"/>
        </w:rPr>
        <w:t xml:space="preserve">and G3, with </w:t>
      </w:r>
      <w:r w:rsidR="00E731A3" w:rsidRPr="00BB1181">
        <w:rPr>
          <w:rFonts w:ascii="Symbol" w:hAnsi="Symbol"/>
          <w:i/>
          <w:iCs/>
          <w:lang w:val="en-GB"/>
        </w:rPr>
        <w:t>c</w:t>
      </w:r>
      <w:r w:rsidR="00E731A3" w:rsidRPr="00BB1181">
        <w:rPr>
          <w:vertAlign w:val="subscript"/>
          <w:lang w:val="en-GB"/>
        </w:rPr>
        <w:t>Al(NTf2)3</w:t>
      </w:r>
      <w:r w:rsidR="00E731A3" w:rsidRPr="00BB1181">
        <w:rPr>
          <w:i/>
          <w:iCs/>
          <w:lang w:val="en-GB"/>
        </w:rPr>
        <w:t xml:space="preserve"> </w:t>
      </w:r>
      <w:r w:rsidR="00E731A3" w:rsidRPr="00BB1181">
        <w:rPr>
          <w:lang w:val="en-GB"/>
        </w:rPr>
        <w:t>= </w:t>
      </w:r>
      <w:r w:rsidRPr="00BB1181">
        <w:rPr>
          <w:lang w:val="en-GB"/>
        </w:rPr>
        <w:t>0.09-</w:t>
      </w:r>
      <w:r w:rsidR="00E731A3" w:rsidRPr="00BB1181">
        <w:rPr>
          <w:lang w:val="en-GB"/>
        </w:rPr>
        <w:t>0.50.</w:t>
      </w:r>
    </w:p>
    <w:p w14:paraId="06DB290E" w14:textId="77777777" w:rsidR="000A2CEA" w:rsidRPr="00905DD7" w:rsidRDefault="000A2CEA" w:rsidP="000A2CEA">
      <w:pPr>
        <w:pStyle w:val="RSCB06BHeadingSub-Section"/>
        <w:rPr>
          <w:bCs/>
          <w:w w:val="108"/>
        </w:rPr>
      </w:pPr>
      <w:r w:rsidRPr="00905DD7">
        <w:rPr>
          <w:bCs/>
          <w:w w:val="108"/>
        </w:rPr>
        <w:t>Multinuclear NMR spectroscopy</w:t>
      </w:r>
    </w:p>
    <w:p w14:paraId="7E849290" w14:textId="5D308977" w:rsidR="001011D8" w:rsidRPr="00905DD7" w:rsidRDefault="001011D8" w:rsidP="001011D8">
      <w:pPr>
        <w:pStyle w:val="RSCB02ArticleText"/>
        <w:rPr>
          <w:bCs/>
          <w:lang w:val="en-GB"/>
        </w:rPr>
      </w:pPr>
      <w:r w:rsidRPr="00905DD7">
        <w:rPr>
          <w:lang w:val="en-GB"/>
        </w:rPr>
        <w:t>All NMR spectra (</w:t>
      </w:r>
      <w:r w:rsidRPr="00905DD7">
        <w:rPr>
          <w:vertAlign w:val="superscript"/>
          <w:lang w:val="en-GB"/>
        </w:rPr>
        <w:t>1</w:t>
      </w:r>
      <w:r w:rsidRPr="00905DD7">
        <w:rPr>
          <w:lang w:val="en-GB"/>
        </w:rPr>
        <w:t xml:space="preserve">H, </w:t>
      </w:r>
      <w:r w:rsidRPr="00905DD7">
        <w:rPr>
          <w:vertAlign w:val="superscript"/>
          <w:lang w:val="en-GB"/>
        </w:rPr>
        <w:t>13</w:t>
      </w:r>
      <w:r w:rsidRPr="00905DD7">
        <w:rPr>
          <w:lang w:val="en-GB"/>
        </w:rPr>
        <w:t>C,</w:t>
      </w:r>
      <w:r w:rsidRPr="00905DD7">
        <w:rPr>
          <w:vertAlign w:val="superscript"/>
          <w:lang w:val="en-GB"/>
        </w:rPr>
        <w:t xml:space="preserve"> 19</w:t>
      </w:r>
      <w:r w:rsidRPr="00905DD7">
        <w:rPr>
          <w:lang w:val="en-GB"/>
        </w:rPr>
        <w:t xml:space="preserve">F, </w:t>
      </w:r>
      <w:r w:rsidRPr="00905DD7">
        <w:rPr>
          <w:vertAlign w:val="superscript"/>
          <w:lang w:val="en-GB"/>
        </w:rPr>
        <w:t>27</w:t>
      </w:r>
      <w:r w:rsidRPr="00905DD7">
        <w:rPr>
          <w:lang w:val="en-GB"/>
        </w:rPr>
        <w:t xml:space="preserve">Al, </w:t>
      </w:r>
      <w:r w:rsidRPr="00905DD7">
        <w:rPr>
          <w:vertAlign w:val="superscript"/>
          <w:lang w:val="en-GB"/>
        </w:rPr>
        <w:t>31</w:t>
      </w:r>
      <w:r w:rsidRPr="00905DD7">
        <w:rPr>
          <w:lang w:val="en-GB"/>
        </w:rPr>
        <w:t xml:space="preserve">P and </w:t>
      </w:r>
      <w:r w:rsidRPr="00905DD7">
        <w:rPr>
          <w:vertAlign w:val="superscript"/>
          <w:lang w:val="en-GB"/>
        </w:rPr>
        <w:t>71</w:t>
      </w:r>
      <w:r w:rsidRPr="00905DD7">
        <w:rPr>
          <w:lang w:val="en-GB"/>
        </w:rPr>
        <w:t>Ga) were recorded on a Bruker Avance DPX 400 MHz spectrometer. All samples were studied at 297 K, neat using a DMSO</w:t>
      </w:r>
      <w:r w:rsidRPr="00905DD7">
        <w:rPr>
          <w:bCs/>
          <w:lang w:val="en-GB"/>
        </w:rPr>
        <w:t>-</w:t>
      </w:r>
      <w:r w:rsidRPr="00905DD7">
        <w:rPr>
          <w:bCs/>
          <w:i/>
          <w:iCs/>
          <w:lang w:val="en-GB"/>
        </w:rPr>
        <w:t>d</w:t>
      </w:r>
      <w:r w:rsidRPr="00905DD7">
        <w:rPr>
          <w:bCs/>
          <w:i/>
          <w:iCs/>
          <w:vertAlign w:val="subscript"/>
          <w:lang w:val="en-GB"/>
        </w:rPr>
        <w:t>6</w:t>
      </w:r>
      <w:r w:rsidRPr="00905DD7">
        <w:rPr>
          <w:lang w:val="en-GB"/>
        </w:rPr>
        <w:t xml:space="preserve"> or D</w:t>
      </w:r>
      <w:r w:rsidRPr="00905DD7">
        <w:rPr>
          <w:vertAlign w:val="subscript"/>
          <w:lang w:val="en-GB"/>
        </w:rPr>
        <w:t>2</w:t>
      </w:r>
      <w:r w:rsidRPr="00905DD7">
        <w:rPr>
          <w:lang w:val="en-GB"/>
        </w:rPr>
        <w:t xml:space="preserve">O filled, sealed capillary as an external lock. In the case of </w:t>
      </w:r>
      <w:r w:rsidRPr="00905DD7">
        <w:rPr>
          <w:vertAlign w:val="superscript"/>
          <w:lang w:val="en-GB"/>
        </w:rPr>
        <w:t>27</w:t>
      </w:r>
      <w:r w:rsidRPr="00905DD7">
        <w:rPr>
          <w:lang w:val="en-GB"/>
        </w:rPr>
        <w:t xml:space="preserve">Al NMR </w:t>
      </w:r>
      <w:r w:rsidR="00101D06" w:rsidRPr="00905DD7">
        <w:rPr>
          <w:lang w:val="en-GB"/>
        </w:rPr>
        <w:t> </w:t>
      </w:r>
      <w:r w:rsidRPr="00905DD7">
        <w:rPr>
          <w:lang w:val="en-GB"/>
        </w:rPr>
        <w:t xml:space="preserve"> solution of Al(NO</w:t>
      </w:r>
      <w:r w:rsidRPr="00905DD7">
        <w:rPr>
          <w:vertAlign w:val="subscript"/>
          <w:lang w:val="en-GB"/>
        </w:rPr>
        <w:t>3</w:t>
      </w:r>
      <w:r w:rsidRPr="00905DD7">
        <w:rPr>
          <w:lang w:val="en-GB"/>
        </w:rPr>
        <w:t>)</w:t>
      </w:r>
      <w:r w:rsidRPr="00905DD7">
        <w:rPr>
          <w:vertAlign w:val="subscript"/>
          <w:lang w:val="en-GB"/>
        </w:rPr>
        <w:t>3</w:t>
      </w:r>
      <w:r w:rsidRPr="00905DD7">
        <w:rPr>
          <w:lang w:val="en-GB"/>
        </w:rPr>
        <w:t xml:space="preserve"> hydrate in D</w:t>
      </w:r>
      <w:r w:rsidRPr="00905DD7">
        <w:rPr>
          <w:vertAlign w:val="subscript"/>
          <w:lang w:val="en-GB"/>
        </w:rPr>
        <w:t>2</w:t>
      </w:r>
      <w:r w:rsidRPr="00905DD7">
        <w:rPr>
          <w:lang w:val="en-GB"/>
        </w:rPr>
        <w:t xml:space="preserve">O was used as an external reference. </w:t>
      </w:r>
      <w:r w:rsidRPr="00905DD7">
        <w:rPr>
          <w:bCs/>
          <w:lang w:val="en-GB"/>
        </w:rPr>
        <w:t xml:space="preserve">In </w:t>
      </w:r>
      <w:r w:rsidRPr="00905DD7">
        <w:rPr>
          <w:bCs/>
          <w:vertAlign w:val="superscript"/>
          <w:lang w:val="en-GB"/>
        </w:rPr>
        <w:t>71</w:t>
      </w:r>
      <w:r w:rsidRPr="00905DD7">
        <w:rPr>
          <w:bCs/>
          <w:lang w:val="en-GB"/>
        </w:rPr>
        <w:t>Ga NMR spectroscopy, a solution of Ga(NO</w:t>
      </w:r>
      <w:r w:rsidRPr="00905DD7">
        <w:rPr>
          <w:bCs/>
          <w:vertAlign w:val="subscript"/>
          <w:lang w:val="en-GB"/>
        </w:rPr>
        <w:t>3</w:t>
      </w:r>
      <w:r w:rsidRPr="00905DD7">
        <w:rPr>
          <w:bCs/>
          <w:lang w:val="en-GB"/>
        </w:rPr>
        <w:t>)</w:t>
      </w:r>
      <w:r w:rsidRPr="00905DD7">
        <w:rPr>
          <w:bCs/>
          <w:vertAlign w:val="subscript"/>
          <w:lang w:val="en-GB"/>
        </w:rPr>
        <w:t>3</w:t>
      </w:r>
      <w:r w:rsidRPr="00905DD7">
        <w:rPr>
          <w:bCs/>
          <w:lang w:val="en-GB"/>
        </w:rPr>
        <w:t xml:space="preserve"> hydrate in D</w:t>
      </w:r>
      <w:r w:rsidRPr="00905DD7">
        <w:rPr>
          <w:bCs/>
          <w:vertAlign w:val="subscript"/>
          <w:lang w:val="en-GB"/>
        </w:rPr>
        <w:t>2</w:t>
      </w:r>
      <w:r w:rsidRPr="00905DD7">
        <w:rPr>
          <w:bCs/>
          <w:lang w:val="en-GB"/>
        </w:rPr>
        <w:t xml:space="preserve">O was used as an external reference and in </w:t>
      </w:r>
      <w:r w:rsidRPr="00905DD7">
        <w:rPr>
          <w:bCs/>
          <w:vertAlign w:val="superscript"/>
          <w:lang w:val="en-GB"/>
        </w:rPr>
        <w:t>19</w:t>
      </w:r>
      <w:r w:rsidRPr="00905DD7">
        <w:rPr>
          <w:bCs/>
          <w:lang w:val="en-GB"/>
        </w:rPr>
        <w:t>F NMR a fluorobenzene in acetone-</w:t>
      </w:r>
      <w:r w:rsidRPr="00905DD7">
        <w:rPr>
          <w:bCs/>
          <w:i/>
          <w:iCs/>
          <w:lang w:val="en-GB"/>
        </w:rPr>
        <w:t>d</w:t>
      </w:r>
      <w:r w:rsidRPr="00905DD7">
        <w:rPr>
          <w:bCs/>
          <w:i/>
          <w:iCs/>
          <w:vertAlign w:val="subscript"/>
          <w:lang w:val="en-GB"/>
        </w:rPr>
        <w:t>6</w:t>
      </w:r>
      <w:r w:rsidRPr="00905DD7">
        <w:rPr>
          <w:bCs/>
          <w:lang w:val="en-GB"/>
        </w:rPr>
        <w:t xml:space="preserve"> was an external reference.</w:t>
      </w:r>
    </w:p>
    <w:p w14:paraId="432B8485" w14:textId="77777777" w:rsidR="000A2CEA" w:rsidRPr="00905DD7" w:rsidRDefault="000A2CEA" w:rsidP="001011D8">
      <w:pPr>
        <w:pStyle w:val="RSCB06BHeadingSub-Section"/>
      </w:pPr>
      <w:r w:rsidRPr="00905DD7">
        <w:t>Acceptor Number Determination</w:t>
      </w:r>
    </w:p>
    <w:p w14:paraId="7787BB07" w14:textId="43446032" w:rsidR="000A2CEA" w:rsidRPr="00905DD7" w:rsidRDefault="000A2CEA" w:rsidP="001011D8">
      <w:pPr>
        <w:pStyle w:val="RSCB02ArticleText"/>
        <w:rPr>
          <w:lang w:val="en-GB"/>
        </w:rPr>
      </w:pPr>
      <w:r w:rsidRPr="00905DD7">
        <w:rPr>
          <w:lang w:val="en-GB"/>
        </w:rPr>
        <w:t xml:space="preserve">Every ionic liquid was </w:t>
      </w:r>
      <w:r w:rsidRPr="0089132E">
        <w:rPr>
          <w:lang w:val="en-GB"/>
        </w:rPr>
        <w:t xml:space="preserve">sampled into three different NMR tubes and </w:t>
      </w:r>
      <w:proofErr w:type="spellStart"/>
      <w:r w:rsidRPr="0089132E">
        <w:rPr>
          <w:lang w:val="en-GB"/>
        </w:rPr>
        <w:t>triethylphosphine</w:t>
      </w:r>
      <w:proofErr w:type="spellEnd"/>
      <w:r w:rsidRPr="0089132E">
        <w:rPr>
          <w:lang w:val="en-GB"/>
        </w:rPr>
        <w:t xml:space="preserve"> oxide (TEPO) in </w:t>
      </w:r>
      <w:r w:rsidR="00DB1C8E" w:rsidRPr="0089132E">
        <w:rPr>
          <w:lang w:val="en-GB"/>
        </w:rPr>
        <w:t xml:space="preserve">the following </w:t>
      </w:r>
      <w:r w:rsidRPr="0089132E">
        <w:rPr>
          <w:lang w:val="en-GB"/>
        </w:rPr>
        <w:t>concentration: 1 %</w:t>
      </w:r>
      <w:proofErr w:type="spellStart"/>
      <w:r w:rsidRPr="0089132E">
        <w:rPr>
          <w:lang w:val="en-GB"/>
        </w:rPr>
        <w:t>wt</w:t>
      </w:r>
      <w:proofErr w:type="spellEnd"/>
      <w:r w:rsidRPr="0089132E">
        <w:rPr>
          <w:lang w:val="en-GB"/>
        </w:rPr>
        <w:t>, 2 %</w:t>
      </w:r>
      <w:proofErr w:type="spellStart"/>
      <w:r w:rsidRPr="0089132E">
        <w:rPr>
          <w:lang w:val="en-GB"/>
        </w:rPr>
        <w:t>wt</w:t>
      </w:r>
      <w:proofErr w:type="spellEnd"/>
      <w:r w:rsidRPr="0089132E">
        <w:rPr>
          <w:lang w:val="en-GB"/>
        </w:rPr>
        <w:t xml:space="preserve"> and 3 %wt. </w:t>
      </w:r>
      <w:r w:rsidR="00DB1C8E" w:rsidRPr="0089132E">
        <w:rPr>
          <w:lang w:val="en-GB"/>
        </w:rPr>
        <w:t>An 85% phosphoric(V) acid solution in D2O enclosed in a capillary was used as the external standard.</w:t>
      </w:r>
      <w:r w:rsidRPr="0089132E">
        <w:rPr>
          <w:lang w:val="en-GB"/>
        </w:rPr>
        <w:t xml:space="preserve"> After TEPO dissolved in the ionic liquid the </w:t>
      </w:r>
      <w:r w:rsidRPr="0089132E">
        <w:rPr>
          <w:vertAlign w:val="superscript"/>
          <w:lang w:val="en-GB"/>
        </w:rPr>
        <w:t>31</w:t>
      </w:r>
      <w:r w:rsidRPr="0089132E">
        <w:rPr>
          <w:lang w:val="en-GB"/>
        </w:rPr>
        <w:t xml:space="preserve">P NMR spectra were </w:t>
      </w:r>
      <w:r w:rsidR="00DB1C8E" w:rsidRPr="0089132E">
        <w:rPr>
          <w:lang w:val="en-GB"/>
        </w:rPr>
        <w:t>recorded</w:t>
      </w:r>
      <w:r w:rsidRPr="0089132E">
        <w:rPr>
          <w:lang w:val="en-GB"/>
        </w:rPr>
        <w:t> at room temperature, at 161.89 MHz and recorded at Agilent 400 MHz spectrometer</w:t>
      </w:r>
      <w:r w:rsidRPr="00905DD7">
        <w:rPr>
          <w:lang w:val="en-GB"/>
        </w:rPr>
        <w:t xml:space="preserve">.  Measured </w:t>
      </w:r>
      <w:r w:rsidRPr="00905DD7">
        <w:rPr>
          <w:vertAlign w:val="superscript"/>
          <w:lang w:val="en-GB"/>
        </w:rPr>
        <w:t>31</w:t>
      </w:r>
      <w:r w:rsidRPr="00905DD7">
        <w:rPr>
          <w:lang w:val="en-GB"/>
        </w:rPr>
        <w:t xml:space="preserve">P NMR chemical shift for each ionic liquid-TEPO concentration arrangement, was extrapolated to infinite dilution of TEPO, </w:t>
      </w:r>
      <w:proofErr w:type="spellStart"/>
      <w:r w:rsidRPr="0089132E">
        <w:rPr>
          <w:i/>
          <w:iCs/>
          <w:lang w:val="en-GB"/>
        </w:rPr>
        <w:t>δ</w:t>
      </w:r>
      <w:r w:rsidRPr="0089132E">
        <w:rPr>
          <w:vertAlign w:val="subscript"/>
          <w:lang w:val="en-GB"/>
        </w:rPr>
        <w:t>inf</w:t>
      </w:r>
      <w:proofErr w:type="spellEnd"/>
      <w:r w:rsidRPr="00905DD7">
        <w:rPr>
          <w:lang w:val="en-GB"/>
        </w:rPr>
        <w:t xml:space="preserve">. The referential value was TEPO chemical shift in hexane extrapolated to infinite dilution, </w:t>
      </w:r>
      <w:proofErr w:type="spellStart"/>
      <w:r w:rsidRPr="0089132E">
        <w:rPr>
          <w:i/>
          <w:iCs/>
          <w:lang w:val="en-GB"/>
        </w:rPr>
        <w:t>δ</w:t>
      </w:r>
      <w:r w:rsidRPr="0089132E">
        <w:rPr>
          <w:vertAlign w:val="subscript"/>
          <w:lang w:val="en-GB"/>
        </w:rPr>
        <w:t>inf</w:t>
      </w:r>
      <w:proofErr w:type="spellEnd"/>
      <w:r w:rsidRPr="0089132E">
        <w:rPr>
          <w:vertAlign w:val="subscript"/>
          <w:lang w:val="en-GB"/>
        </w:rPr>
        <w:t> hex</w:t>
      </w:r>
      <w:r w:rsidRPr="00905DD7">
        <w:rPr>
          <w:lang w:val="en-GB"/>
        </w:rPr>
        <w:t> = 0 ppm. For each ionic liquid the acceptor number was calculated based on the formula: AN = 2.348·</w:t>
      </w:r>
      <w:r w:rsidRPr="0089132E">
        <w:rPr>
          <w:i/>
          <w:iCs/>
          <w:lang w:val="en-GB"/>
        </w:rPr>
        <w:t>δ</w:t>
      </w:r>
      <w:r w:rsidRPr="0089132E">
        <w:rPr>
          <w:vertAlign w:val="subscript"/>
          <w:lang w:val="en-GB"/>
        </w:rPr>
        <w:t>inf</w:t>
      </w:r>
      <w:r w:rsidRPr="00905DD7">
        <w:rPr>
          <w:lang w:val="en-GB"/>
        </w:rPr>
        <w:t xml:space="preserve">, as described in </w:t>
      </w:r>
      <w:r w:rsidR="009D491F">
        <w:rPr>
          <w:lang w:val="en-GB"/>
        </w:rPr>
        <w:t>the lierature</w:t>
      </w:r>
      <w:r w:rsidRPr="00905DD7">
        <w:rPr>
          <w:lang w:val="en-GB"/>
        </w:rPr>
        <w:t>.</w:t>
      </w:r>
      <w:r w:rsidRPr="00905DD7">
        <w:rPr>
          <w:lang w:val="en-GB"/>
        </w:rPr>
        <w:fldChar w:fldCharType="begin" w:fldLock="1"/>
      </w:r>
      <w:r w:rsidR="0026470D">
        <w:rPr>
          <w:lang w:val="en-GB"/>
        </w:rPr>
        <w:instrText>ADDIN CSL_CITATION {"citationItems":[{"id":"ITEM-1","itemData":{"DOI":"10.1039/c4gc00415a","ISSN":"14639270","abstract":"Aiming at inexpensive Bronsted-acidic ionic liquids, suitable for industrial-scale catalysis, a family of protonic ionic liquids based on nitrogen bases and sulfuric acid has been developed. Variation of the molar ratio of sulfuric acid, ?H2SO4, was used to tune acidity. The liquid structure was studied using 1H NMR and IR spectroscopies, revealing the existence of hydrogen-bonded clusters, [(HSO4)(H2SO4)]?, for ?H2SO4 0.50. Acidity, quantified by Gutmann Acceptor Number (AN), was found to be closely related to the liquid structure. The ionic liquids were employed as acid catalysts in a model reaction; Fischer esterification of acetic acid with 1-butanol. The reaction rate depended on two factors; for ?H2SO4 0.50, the key parameter was acidity (expressed as AN value), while for ?H2SO4 0.50 it was the mass transport (solubility of starting materials in the ionic liquid phase). Building on this insight, the ionic liquid catalyst and reaction conditions have been chosen. Conversion values of over 95% were achieved under exceptionally mild conditions, and using an inexpensive ionic liquid, which could be recycled up to eight times without diminution in conversion or selectivity. It has been demonstrated how structural studies can underpin rational design and development of an ionic liquid catalyst, and in turn lead to a both greener and economically viable process.","author":[{"dropping-particle":"","family":"Matuszek","given":"Karolina","non-dropping-particle":"","parse-names":false,"suffix":""},{"dropping-particle":"","family":"Chrobok","given":"Anna","non-dropping-particle":"","parse-names":false,"suffix":""},{"dropping-particle":"","family":"Coleman","given":"Fergal","non-dropping-particle":"","parse-names":false,"suffix":""},{"dropping-particle":"","family":"Seddon","given":"Kenneth R.","non-dropping-particle":"","parse-names":false,"suffix":""},{"dropping-particle":"","family":"Swadźba-Kwaśny","given":"Małgorzata","non-dropping-particle":"","parse-names":false,"suffix":""}],"container-title":"Green Chemistry","id":"ITEM-1","issue":"7","issued":{"date-parts":[["2014"]]},"page":"3463-3471","title":"Tailoring ionic liquid catalysts: Structure, acidity and catalytic activity of protonic ionic liquids based on anionic clusters, [(HSO4)(H 2SO4)x]- (x = 0, 1, or 2)","type":"article-journal","volume":"16"},"uris":["http://www.mendeley.com/documents/?uuid=003f1e5a-20d5-46f3-b2e9-e561b443adaa"]},{"id":"ITEM-2","itemData":{"DOI":"10.1039/d1gc00515d","ISSN":"14639270","abstract":"Dicationic and tricationic ionic liquids, synthesised by proton transfer from sulfuric acid and corresponding di- and triamines, were characterised and used as Brønsted acidic catalysts in biodiesel production. It has been demonstrated that the new ionic liquids are less expensive than those based on monoamines (even on triethylamine) and are highly acidic. Their performance in a model catalytic esterification reaction surpassed that of sulfuric acid and other literature reports, due to the capability of the ionic liquids to absorb water while phase-separating the ester, thereby shifting the reaction equilibrium towards products. The overall catalytic performance was an interplay between acidity (quantified by Gutmann AN) and physical properties: density and viscosity, which enabled easy phase separation, thereby separating water from the ester. The substrate scope and recycling studies have demonstrated that the new ionic liquids are robust and recyclable catalysts.","author":[{"dropping-particle":"","family":"Brzęczek-Szafran","given":"Alina","non-dropping-particle":"","parse-names":false,"suffix":""},{"dropping-particle":"","family":"Więcławik","given":"Justyna","non-dropping-particle":"","parse-names":false,"suffix":""},{"dropping-particle":"","family":"Barteczko","given":"Natalia","non-dropping-particle":"","parse-names":false,"suffix":""},{"dropping-particle":"","family":"Szelwicka","given":"Anna","non-dropping-particle":"","parse-names":false,"suffix":""},{"dropping-particle":"","family":"Byrne","given":"Emily","non-dropping-particle":"","parse-names":false,"suffix":""},{"dropping-particle":"","family":"Kolanowska","given":"Anna","non-dropping-particle":"","parse-names":false,"suffix":""},{"dropping-particle":"","family":"Swadźba Kwaśny","given":"Małgorzata","non-dropping-particle":"","parse-names":false,"suffix":""},{"dropping-particle":"","family":"Chrobok","given":"Anna","non-dropping-particle":"","parse-names":false,"suffix":""}],"container-title":"Green Chemistry","id":"ITEM-2","issue":"12","issued":{"date-parts":[["2021"]]},"page":"4421-4429","publisher":"The Royal Society of Chemistry","title":"Protic ionic liquids from di- or triamines: even cheaper Brønsted acidic catalysts","type":"article-journal","volume":"23"},"uris":["http://www.mendeley.com/documents/?uuid=d03622d8-3279-4958-bf0d-30d11006d2b3"]}],"mendeley":{"formattedCitation":"&lt;sup&gt;33,34&lt;/sup&gt;","plainTextFormattedCitation":"33,34","previouslyFormattedCitation":"&lt;sup&gt;33,34&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33,34</w:t>
      </w:r>
      <w:r w:rsidRPr="00905DD7">
        <w:rPr>
          <w:lang w:val="en-GB"/>
        </w:rPr>
        <w:fldChar w:fldCharType="end"/>
      </w:r>
    </w:p>
    <w:p w14:paraId="2D1EFE25" w14:textId="77777777" w:rsidR="000A2CEA" w:rsidRPr="00905DD7" w:rsidRDefault="000A2CEA" w:rsidP="000A2CEA">
      <w:pPr>
        <w:pStyle w:val="RSCB06BHeadingSub-Section"/>
        <w:rPr>
          <w:bCs/>
          <w:w w:val="108"/>
        </w:rPr>
      </w:pPr>
      <w:r w:rsidRPr="00905DD7">
        <w:rPr>
          <w:bCs/>
          <w:w w:val="108"/>
        </w:rPr>
        <w:t>General procedure for [3+3] Cycloaddition</w:t>
      </w:r>
    </w:p>
    <w:p w14:paraId="19089BFF" w14:textId="65F8AA4F" w:rsidR="000A2CEA" w:rsidRPr="00905DD7" w:rsidRDefault="000A2CEA" w:rsidP="001011D8">
      <w:pPr>
        <w:pStyle w:val="RSCB02ArticleText"/>
        <w:rPr>
          <w:lang w:val="en-GB"/>
        </w:rPr>
      </w:pPr>
      <w:r w:rsidRPr="00905DD7">
        <w:rPr>
          <w:lang w:val="en-GB"/>
        </w:rPr>
        <w:t>All reactions were carried out under a protective atmosphere of argon. The catalyst (1-5 mol% per 1.00 mol of isoprene) was placed into the flask</w:t>
      </w:r>
      <w:r w:rsidRPr="00AB681A">
        <w:rPr>
          <w:lang w:val="en-GB"/>
        </w:rPr>
        <w:t>. Then 0.</w:t>
      </w:r>
      <w:r w:rsidR="00A15970" w:rsidRPr="00AB681A">
        <w:rPr>
          <w:lang w:val="en-GB"/>
        </w:rPr>
        <w:t>98</w:t>
      </w:r>
      <w:r w:rsidR="00EA0A41" w:rsidRPr="00AB681A">
        <w:rPr>
          <w:lang w:val="en-GB"/>
        </w:rPr>
        <w:t xml:space="preserve"> </w:t>
      </w:r>
      <w:r w:rsidRPr="00AB681A">
        <w:rPr>
          <w:lang w:val="en-GB"/>
        </w:rPr>
        <w:t>g of 2,4-dimethylphenol (</w:t>
      </w:r>
      <w:r w:rsidR="00A15970" w:rsidRPr="00AB681A">
        <w:rPr>
          <w:lang w:val="en-GB"/>
        </w:rPr>
        <w:t>8</w:t>
      </w:r>
      <w:r w:rsidRPr="00AB681A">
        <w:rPr>
          <w:lang w:val="en-GB"/>
        </w:rPr>
        <w:t> </w:t>
      </w:r>
      <w:r w:rsidR="008439A5" w:rsidRPr="00AB681A">
        <w:rPr>
          <w:lang w:val="en-GB"/>
        </w:rPr>
        <w:t>m</w:t>
      </w:r>
      <w:r w:rsidRPr="00AB681A">
        <w:rPr>
          <w:lang w:val="en-GB"/>
        </w:rPr>
        <w:t xml:space="preserve">mol) </w:t>
      </w:r>
      <w:r w:rsidR="001B151D" w:rsidRPr="00AB681A">
        <w:rPr>
          <w:lang w:val="en-GB"/>
        </w:rPr>
        <w:t>and</w:t>
      </w:r>
      <w:r w:rsidRPr="00AB681A">
        <w:rPr>
          <w:lang w:val="en-GB"/>
        </w:rPr>
        <w:t xml:space="preserve"> 0.</w:t>
      </w:r>
      <w:r w:rsidR="00A15970" w:rsidRPr="00AB681A">
        <w:rPr>
          <w:lang w:val="en-GB"/>
        </w:rPr>
        <w:t>27</w:t>
      </w:r>
      <w:r w:rsidR="00EA0A41" w:rsidRPr="00AB681A">
        <w:rPr>
          <w:lang w:val="en-GB"/>
        </w:rPr>
        <w:t xml:space="preserve"> </w:t>
      </w:r>
      <w:r w:rsidRPr="00AB681A">
        <w:rPr>
          <w:lang w:val="en-GB"/>
        </w:rPr>
        <w:t>g of isoprene (</w:t>
      </w:r>
      <w:r w:rsidR="00A15970" w:rsidRPr="00AB681A">
        <w:rPr>
          <w:lang w:val="en-GB"/>
        </w:rPr>
        <w:t>4</w:t>
      </w:r>
      <w:r w:rsidRPr="00AB681A">
        <w:rPr>
          <w:lang w:val="en-GB"/>
        </w:rPr>
        <w:t xml:space="preserve"> </w:t>
      </w:r>
      <w:r w:rsidR="008439A5" w:rsidRPr="00AB681A">
        <w:rPr>
          <w:lang w:val="en-GB"/>
        </w:rPr>
        <w:t>m</w:t>
      </w:r>
      <w:r w:rsidRPr="00AB681A">
        <w:rPr>
          <w:lang w:val="en-GB"/>
        </w:rPr>
        <w:t xml:space="preserve">mol) </w:t>
      </w:r>
      <w:r w:rsidR="001B151D" w:rsidRPr="00AB681A">
        <w:rPr>
          <w:lang w:val="en-GB"/>
        </w:rPr>
        <w:t>were added along with</w:t>
      </w:r>
      <w:r w:rsidRPr="00AB681A">
        <w:rPr>
          <w:lang w:val="en-GB"/>
        </w:rPr>
        <w:t xml:space="preserve"> 0.1</w:t>
      </w:r>
      <w:r w:rsidR="00EA0A41" w:rsidRPr="00AB681A">
        <w:rPr>
          <w:lang w:val="en-GB"/>
        </w:rPr>
        <w:t>0</w:t>
      </w:r>
      <w:r w:rsidRPr="00AB681A">
        <w:rPr>
          <w:lang w:val="en-GB"/>
        </w:rPr>
        <w:t xml:space="preserve"> g (0.7 </w:t>
      </w:r>
      <w:r w:rsidR="008439A5" w:rsidRPr="00AB681A">
        <w:rPr>
          <w:lang w:val="en-GB"/>
        </w:rPr>
        <w:t>m</w:t>
      </w:r>
      <w:r w:rsidRPr="00AB681A">
        <w:rPr>
          <w:lang w:val="en-GB"/>
        </w:rPr>
        <w:t>mol)</w:t>
      </w:r>
      <w:r w:rsidRPr="00905DD7">
        <w:rPr>
          <w:lang w:val="en-GB"/>
        </w:rPr>
        <w:t xml:space="preserve"> of decane as internal standard. The reaction was carried out on a magnetic stirrer at various temperatures (20</w:t>
      </w:r>
      <w:r w:rsidRPr="00905DD7">
        <w:rPr>
          <w:lang w:val="en-GB"/>
        </w:rPr>
        <w:noBreakHyphen/>
        <w:t xml:space="preserve">40 °C). The progress of the reaction was monitored by gas chromatography. The GC analysis </w:t>
      </w:r>
      <w:proofErr w:type="gramStart"/>
      <w:r w:rsidRPr="00905DD7">
        <w:rPr>
          <w:lang w:val="en-GB"/>
        </w:rPr>
        <w:t>were</w:t>
      </w:r>
      <w:proofErr w:type="gramEnd"/>
      <w:r w:rsidRPr="00905DD7">
        <w:rPr>
          <w:lang w:val="en-GB"/>
        </w:rPr>
        <w:t xml:space="preserve"> prepared in anhydrous hexane storage over molecular sieves.</w:t>
      </w:r>
    </w:p>
    <w:p w14:paraId="775897B9" w14:textId="2A941A4C" w:rsidR="001A6712" w:rsidRPr="00905DD7" w:rsidRDefault="001A6712" w:rsidP="001A6712">
      <w:pPr>
        <w:pStyle w:val="RSCB04AHeadingSection"/>
      </w:pPr>
      <w:r w:rsidRPr="00905DD7">
        <w:t>Results and discussion</w:t>
      </w:r>
    </w:p>
    <w:p w14:paraId="3FC63FBE" w14:textId="77777777" w:rsidR="001011D8" w:rsidRPr="00905DD7" w:rsidRDefault="001011D8" w:rsidP="00B14824">
      <w:pPr>
        <w:pStyle w:val="RSCB06BHeadingSub-Section"/>
      </w:pPr>
      <w:r w:rsidRPr="00905DD7">
        <w:t>Design of Group 13 SILs</w:t>
      </w:r>
    </w:p>
    <w:p w14:paraId="52F62356" w14:textId="1A6CE82D" w:rsidR="003656C7" w:rsidRDefault="001011D8" w:rsidP="001011D8">
      <w:pPr>
        <w:pStyle w:val="RSCB02ArticleText"/>
        <w:rPr>
          <w:lang w:val="en-GB"/>
        </w:rPr>
      </w:pPr>
      <w:r w:rsidRPr="00905DD7">
        <w:rPr>
          <w:lang w:val="en-GB"/>
        </w:rPr>
        <w:lastRenderedPageBreak/>
        <w:t>Initial screening experiments included three</w:t>
      </w:r>
      <w:r w:rsidR="00BB1181">
        <w:rPr>
          <w:rStyle w:val="Odwoaniedokomentarza"/>
          <w:rFonts w:cstheme="minorBidi"/>
          <w:w w:val="100"/>
          <w:lang w:val="en-GB"/>
        </w:rPr>
        <w:t xml:space="preserve"> </w:t>
      </w:r>
      <w:r w:rsidRPr="00905DD7">
        <w:rPr>
          <w:lang w:val="en-GB"/>
        </w:rPr>
        <w:t xml:space="preserve">Group 13 salts: aluminium </w:t>
      </w:r>
      <w:proofErr w:type="spellStart"/>
      <w:r w:rsidRPr="00905DD7">
        <w:rPr>
          <w:lang w:val="en-GB"/>
        </w:rPr>
        <w:t>trifluoromethanesulfonate</w:t>
      </w:r>
      <w:proofErr w:type="spellEnd"/>
      <w:r w:rsidRPr="00905DD7">
        <w:rPr>
          <w:lang w:val="en-GB"/>
        </w:rPr>
        <w:t>,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gallium(III) </w:t>
      </w:r>
      <w:proofErr w:type="spellStart"/>
      <w:r w:rsidRPr="00905DD7">
        <w:rPr>
          <w:lang w:val="en-GB"/>
        </w:rPr>
        <w:t>trifluoromethanesulfonate</w:t>
      </w:r>
      <w:proofErr w:type="spellEnd"/>
      <w:r w:rsidRPr="00905DD7">
        <w:rPr>
          <w:lang w:val="en-GB"/>
        </w:rPr>
        <w:t>, 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and aluminium bis(</w:t>
      </w:r>
      <w:proofErr w:type="spellStart"/>
      <w:r w:rsidRPr="00905DD7">
        <w:rPr>
          <w:lang w:val="en-GB"/>
        </w:rPr>
        <w:t>trifluoromethane</w:t>
      </w:r>
      <w:proofErr w:type="spellEnd"/>
      <w:r w:rsidRPr="00905DD7">
        <w:rPr>
          <w:lang w:val="en-GB"/>
        </w:rPr>
        <w:t>)</w:t>
      </w:r>
      <w:proofErr w:type="spellStart"/>
      <w:r w:rsidRPr="00905DD7">
        <w:rPr>
          <w:lang w:val="en-GB"/>
        </w:rPr>
        <w:t>sulfonimide</w:t>
      </w:r>
      <w:proofErr w:type="spellEnd"/>
      <w:r w:rsidRPr="00905DD7">
        <w:rPr>
          <w:lang w:val="en-GB"/>
        </w:rPr>
        <w:t>, Al(NTf</w:t>
      </w:r>
      <w:r w:rsidRPr="00905DD7">
        <w:rPr>
          <w:vertAlign w:val="subscript"/>
          <w:lang w:val="en-GB"/>
        </w:rPr>
        <w:t>2</w:t>
      </w:r>
      <w:r w:rsidRPr="00905DD7">
        <w:rPr>
          <w:lang w:val="en-GB"/>
        </w:rPr>
        <w:t>)</w:t>
      </w:r>
      <w:r w:rsidRPr="00905DD7">
        <w:rPr>
          <w:vertAlign w:val="subscript"/>
          <w:lang w:val="en-GB"/>
        </w:rPr>
        <w:t>3</w:t>
      </w:r>
      <w:r w:rsidRPr="00905DD7">
        <w:rPr>
          <w:lang w:val="en-GB"/>
        </w:rPr>
        <w:t xml:space="preserve">, </w:t>
      </w:r>
      <w:r w:rsidR="00D4443C">
        <w:rPr>
          <w:lang w:val="en-GB"/>
        </w:rPr>
        <w:t>combined with</w:t>
      </w:r>
      <w:r w:rsidRPr="00905DD7">
        <w:rPr>
          <w:lang w:val="en-GB"/>
        </w:rPr>
        <w:t xml:space="preserve"> </w:t>
      </w:r>
      <w:proofErr w:type="spellStart"/>
      <w:r w:rsidRPr="00905DD7">
        <w:rPr>
          <w:lang w:val="en-GB"/>
        </w:rPr>
        <w:t>triethylene</w:t>
      </w:r>
      <w:proofErr w:type="spellEnd"/>
      <w:r w:rsidRPr="00905DD7">
        <w:rPr>
          <w:lang w:val="en-GB"/>
        </w:rPr>
        <w:t xml:space="preserve"> glycol dimethyl ether (triglyme, G3). </w:t>
      </w:r>
    </w:p>
    <w:p w14:paraId="5CC6D664" w14:textId="13CF5A2C" w:rsidR="001011D8" w:rsidRPr="00905DD7" w:rsidRDefault="001011D8" w:rsidP="002B321E">
      <w:pPr>
        <w:pStyle w:val="RSCB02ArticleText"/>
        <w:ind w:firstLine="284"/>
        <w:rPr>
          <w:lang w:val="en-GB"/>
        </w:rPr>
      </w:pPr>
      <w:r w:rsidRPr="00905DD7">
        <w:rPr>
          <w:lang w:val="en-GB"/>
        </w:rPr>
        <w:t>Considering that non-coordinating anions were reported to be the best candidates for generating “good” SILs, mixtures of Al(NTf</w:t>
      </w:r>
      <w:r w:rsidRPr="00905DD7">
        <w:rPr>
          <w:vertAlign w:val="subscript"/>
          <w:lang w:val="en-GB"/>
        </w:rPr>
        <w:t>2</w:t>
      </w:r>
      <w:r w:rsidRPr="00905DD7">
        <w:rPr>
          <w:lang w:val="en-GB"/>
        </w:rPr>
        <w:t>)</w:t>
      </w:r>
      <w:r w:rsidRPr="00905DD7">
        <w:rPr>
          <w:vertAlign w:val="subscript"/>
          <w:lang w:val="en-GB"/>
        </w:rPr>
        <w:t>3</w:t>
      </w:r>
      <w:r w:rsidRPr="00905DD7">
        <w:rPr>
          <w:lang w:val="en-GB"/>
        </w:rPr>
        <w:t xml:space="preserve"> and G3 were tested first.</w:t>
      </w:r>
      <w:r w:rsidR="003656C7">
        <w:rPr>
          <w:lang w:val="en-GB"/>
        </w:rPr>
        <w:t xml:space="preserve"> </w:t>
      </w:r>
      <w:r w:rsidRPr="00905DD7">
        <w:rPr>
          <w:lang w:val="en-GB"/>
        </w:rPr>
        <w:t xml:space="preserve">Combinations with high loadings of the metal salt, </w:t>
      </w:r>
      <w:r w:rsidRPr="00905DD7">
        <w:rPr>
          <w:rFonts w:ascii="Symbol" w:hAnsi="Symbol"/>
          <w:i/>
          <w:iCs/>
          <w:lang w:val="en-GB"/>
        </w:rPr>
        <w:t>c</w:t>
      </w:r>
      <w:r w:rsidRPr="00905DD7">
        <w:rPr>
          <w:vertAlign w:val="subscript"/>
          <w:lang w:val="en-GB"/>
        </w:rPr>
        <w:t>Al(NTf2)3</w:t>
      </w:r>
      <w:r w:rsidRPr="00905DD7">
        <w:rPr>
          <w:i/>
          <w:iCs/>
          <w:lang w:val="en-GB"/>
        </w:rPr>
        <w:t xml:space="preserve"> </w:t>
      </w:r>
      <w:r w:rsidRPr="00905DD7">
        <w:rPr>
          <w:lang w:val="en-GB"/>
        </w:rPr>
        <w:t xml:space="preserve">= 0.33 and 0.50, where </w:t>
      </w:r>
      <w:r w:rsidR="0025076F" w:rsidRPr="00905DD7">
        <w:rPr>
          <w:rFonts w:ascii="Symbol" w:hAnsi="Symbol"/>
          <w:i/>
          <w:iCs/>
          <w:lang w:val="en-GB"/>
        </w:rPr>
        <w:t>c</w:t>
      </w:r>
      <w:r w:rsidRPr="00905DD7">
        <w:rPr>
          <w:vertAlign w:val="subscript"/>
          <w:lang w:val="en-GB"/>
        </w:rPr>
        <w:t>Al(NTf2)3</w:t>
      </w:r>
      <w:r w:rsidRPr="00905DD7">
        <w:rPr>
          <w:i/>
          <w:iCs/>
          <w:lang w:val="en-GB"/>
        </w:rPr>
        <w:t xml:space="preserve"> </w:t>
      </w:r>
      <w:r w:rsidRPr="00905DD7">
        <w:rPr>
          <w:lang w:val="en-GB"/>
        </w:rPr>
        <w:t>is the molar ratio of Al(NTf</w:t>
      </w:r>
      <w:r w:rsidRPr="00905DD7">
        <w:rPr>
          <w:vertAlign w:val="subscript"/>
          <w:lang w:val="en-GB"/>
        </w:rPr>
        <w:t>2</w:t>
      </w:r>
      <w:r w:rsidRPr="00905DD7">
        <w:rPr>
          <w:lang w:val="en-GB"/>
        </w:rPr>
        <w:t>)</w:t>
      </w:r>
      <w:r w:rsidRPr="00905DD7">
        <w:rPr>
          <w:vertAlign w:val="subscript"/>
          <w:lang w:val="en-GB"/>
        </w:rPr>
        <w:t>3</w:t>
      </w:r>
      <w:r w:rsidRPr="00905DD7">
        <w:rPr>
          <w:lang w:val="en-GB"/>
        </w:rPr>
        <w:t>, were homogeneous</w:t>
      </w:r>
      <w:r w:rsidR="003656C7">
        <w:rPr>
          <w:lang w:val="en-GB"/>
        </w:rPr>
        <w:t xml:space="preserve"> and</w:t>
      </w:r>
      <w:r w:rsidRPr="00905DD7">
        <w:rPr>
          <w:lang w:val="en-GB"/>
        </w:rPr>
        <w:t xml:space="preserve"> extremely viscous liquids. Decreasing the molar fraction of Al(NTf</w:t>
      </w:r>
      <w:r w:rsidRPr="00905DD7">
        <w:rPr>
          <w:vertAlign w:val="subscript"/>
          <w:lang w:val="en-GB"/>
        </w:rPr>
        <w:t>2</w:t>
      </w:r>
      <w:r w:rsidRPr="00905DD7">
        <w:rPr>
          <w:lang w:val="en-GB"/>
        </w:rPr>
        <w:t>)</w:t>
      </w:r>
      <w:r w:rsidRPr="00905DD7">
        <w:rPr>
          <w:vertAlign w:val="subscript"/>
          <w:lang w:val="en-GB"/>
        </w:rPr>
        <w:t>3</w:t>
      </w:r>
      <w:r w:rsidRPr="00905DD7">
        <w:rPr>
          <w:lang w:val="en-GB"/>
        </w:rPr>
        <w:t xml:space="preserve"> resulted in </w:t>
      </w:r>
      <w:r w:rsidR="00DE0469">
        <w:rPr>
          <w:lang w:val="en-GB"/>
        </w:rPr>
        <w:t>apparent</w:t>
      </w:r>
      <w:r w:rsidRPr="00905DD7">
        <w:rPr>
          <w:lang w:val="en-GB"/>
        </w:rPr>
        <w:t xml:space="preserve"> autocatalytic decomposition: the mixtures darkened and dark-brown, insoluble solid precipitated from the liquid glyme. This explained the absence of literature data on Al(NTf</w:t>
      </w:r>
      <w:r w:rsidRPr="00905DD7">
        <w:rPr>
          <w:vertAlign w:val="subscript"/>
          <w:lang w:val="en-GB"/>
        </w:rPr>
        <w:t>2</w:t>
      </w:r>
      <w:r w:rsidRPr="00905DD7">
        <w:rPr>
          <w:lang w:val="en-GB"/>
        </w:rPr>
        <w:t>)</w:t>
      </w:r>
      <w:r w:rsidRPr="00905DD7">
        <w:rPr>
          <w:vertAlign w:val="subscript"/>
          <w:lang w:val="en-GB"/>
        </w:rPr>
        <w:t>3</w:t>
      </w:r>
      <w:r w:rsidRPr="00905DD7">
        <w:rPr>
          <w:lang w:val="en-GB"/>
        </w:rPr>
        <w:t xml:space="preserve"> and glyme mixtures, whereas there are several papers on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and diglyme,</w:t>
      </w:r>
      <w:r w:rsidRPr="00905DD7">
        <w:rPr>
          <w:lang w:val="en-GB"/>
        </w:rPr>
        <w:fldChar w:fldCharType="begin" w:fldLock="1"/>
      </w:r>
      <w:r w:rsidR="0026470D">
        <w:rPr>
          <w:lang w:val="en-GB"/>
        </w:rPr>
        <w:instrText>ADDIN CSL_CITATION {"citationItems":[{"id":"ITEM-1","itemData":{"ISSN":"15205207","abstract":"The physicochemical properties of aluminum trifluoromethanesulfonate in diglyme have been investigated. The spectroscopic and electrochemical properties have been examined to determine speciation, conductivity, and electrochemical stability. Gaussian calculations provide optimized molecular geometries and offer insight into the electrochemical behavior of the solutions. The ions in solution appear to exhibit very straightforward behavior, with contact ion pairs forming at very low concentrations. In addition, the electrochemical window of the electrolyte initially decreases with increasing salt concentration to a minimum value of approximately 5.5 V around 1 M and then steadily rises to a maximum value above 8 V.","author":[{"dropping-particle":"","family":"Reed","given":"Luke D.","non-dropping-particle":"","parse-names":false,"suffix":""},{"dropping-particle":"","family":"Arteaga","given":"Ana","non-dropping-particle":"","parse-names":false,"suffix":""},{"dropping-particle":"","family":"Menke","given":"Erik J.","non-dropping-particle":"","parse-names":false,"suffix":""}],"container-title":"Journal of Physical Chemistry B","id":"ITEM-1","issue":"39","issued":{"date-parts":[["2015","10","1"]]},"page":"12677-12681","publisher":"American Chemical Society","title":"A Combined Experimental and Computational Study of an Aluminum Triflate/Diglyme Electrolyte","type":"article-journal","volume":"119"},"uris":["http://www.mendeley.com/documents/?uuid=21f2c74f-79cc-4c73-a736-e7a4b368b995"]},{"id":"ITEM-2","itemData":{"DOI":"10.1039/c5cc06053b","ISSN":"1364548X","abstract":"Reversible aluminum intercalation/deintercalation from an organic electrolyte into copper hexacyanoferrate is presented. Evidence suggest that an aluminum-solute complex is the intercalating species. The system shows initial discharge capacities as high as 60 mA h g-1 and reversible capacities between 5 and 14 mA h g-1, with capacity typically fading after 10 to 15 cycles.","author":[{"dropping-particle":"","family":"Reed","given":"L. D.","non-dropping-particle":"","parse-names":false,"suffix":""},{"dropping-particle":"","family":"Ortiz","given":"S. N.","non-dropping-particle":"","parse-names":false,"suffix":""},{"dropping-particle":"","family":"Xiong","given":"M.","non-dropping-particle":"","parse-names":false,"suffix":""},{"dropping-particle":"","family":"Menke","given":"E. J.","non-dropping-particle":"","parse-names":false,"suffix":""}],"container-title":"Chemical Communications","id":"ITEM-2","issue":"76","issued":{"date-parts":[["2015","9","10"]]},"page":"14397-14400","publisher":"The Royal Society of Chemistry","title":"A rechargeable aluminum-ion battery utilizing a copper hexacyanoferrate cathode in an organic electrolyte","type":"article-journal","volume":"51"},"uris":["http://www.mendeley.com/documents/?uuid=f3ad5196-56d7-3861-afd3-13fc1adbc04f"]},{"id":"ITEM-3","itemData":{"DOI":"10.34133/2022/9790472","ISSN":"26927640","abstract":"The rechargeable aluminum batteries (RAB) have shown great potential for energy storage applications due to their low-cost and superior volumetric capacity. However, the battery performances are far from satisfactory owing to the poor kinetics of electrode reactions, including the solid-state ionic diffusion and interfacial charge transfer. The charge transfer reaction, typically the cation desolvation at the interface (Helmholtz plane), is crucial for determining the interfacial charge transfer, which induces the solvent effect in batteries but has not been explored in RABs. Herein, we provide a comprehensive understanding of solvent effects on interface kinetics and electrochemical performance of RAB by analyzing the desolvation process and charge transfer energy barrier. The pivotal role of solvent effects is confirmed by the successful application of Al(OTF)3-H2O electrolyte, which displays easy desolvation, low charge transfer resistance, and thus superior Al-ion storage performance over other electrolytes in our studies. In addition, based on the strong correlation between the calculated desolvation energy and charge transfer energy barrier, the calculation of dissociation energy of ion-solvent complex is demonstrated as an efficient index for designing electrolytes. The in-depth understanding of solvent effects provides rational guidance for new electrolyte and RAB design.","author":[{"dropping-particle":"","family":"Gu","given":"Sichen","non-dropping-particle":"","parse-names":false,"suffix":""},{"dropping-particle":"","family":"Haoyi","given":"Yang","non-dropping-particle":"","parse-names":false,"suffix":""},{"dropping-particle":"","family":"Yuan","given":"Yanxia","non-dropping-particle":"","parse-names":false,"suffix":""},{"dropping-particle":"","family":"Gao","given":"Yaning","non-dropping-particle":"","parse-names":false,"suffix":""},{"dropping-particle":"","family":"Zhu","given":"Na","non-dropping-particle":"","parse-names":false,"suffix":""},{"dropping-particle":"","family":"Wu","given":"Feng","non-dropping-particle":"","parse-names":false,"suffix":""},{"dropping-particle":"","family":"Bai","given":"Ying","non-dropping-particle":"","parse-names":false,"suffix":""},{"dropping-particle":"","family":"Wu","given":"Chuan","non-dropping-particle":"","parse-names":false,"suffix":""}],"container-title":"Energy Material Advances","id":"ITEM-3","issued":{"date-parts":[["2022"]]},"page":"1-10","title":"Solvent Effects on Kinetics and Electrochemical Performances of Rechargeable Aluminum Batteries","type":"article-journal","volume":"1"},"uris":["http://www.mendeley.com/documents/?uuid=8eefa4a7-ec4d-3fd5-bb24-70ae8e420fd1"]}],"mendeley":{"formattedCitation":"&lt;sup&gt;35–37&lt;/sup&gt;","plainTextFormattedCitation":"35–37","previouslyFormattedCitation":"&lt;sup&gt;35–37&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35–37</w:t>
      </w:r>
      <w:r w:rsidRPr="00905DD7">
        <w:rPr>
          <w:lang w:val="en-GB"/>
        </w:rPr>
        <w:fldChar w:fldCharType="end"/>
      </w:r>
      <w:r w:rsidRPr="00905DD7">
        <w:rPr>
          <w:lang w:val="en-GB"/>
        </w:rPr>
        <w:t xml:space="preserve"> and on AlCl</w:t>
      </w:r>
      <w:r w:rsidRPr="00905DD7">
        <w:rPr>
          <w:vertAlign w:val="subscript"/>
          <w:lang w:val="en-GB"/>
        </w:rPr>
        <w:t>3</w:t>
      </w:r>
      <w:r w:rsidRPr="00905DD7">
        <w:rPr>
          <w:lang w:val="en-GB"/>
        </w:rPr>
        <w:t xml:space="preserve"> and various glymes.</w:t>
      </w:r>
      <w:r w:rsidRPr="00905DD7">
        <w:rPr>
          <w:lang w:val="en-GB"/>
        </w:rPr>
        <w:fldChar w:fldCharType="begin" w:fldLock="1"/>
      </w:r>
      <w:r w:rsidR="0026470D">
        <w:rPr>
          <w:lang w:val="en-GB"/>
        </w:rPr>
        <w:instrText>ADDIN CSL_CITATION {"citationItems":[{"id":"ITEM-1","itemData":{"DOI":"10.5796/electrochemistry.82.946","ISSN":"21862451","abstract":"We first report an AlCl3-containing diglyme electrolyte for room temperature Al electrodeposition, which have relatively low volatilities and low cost. With the molar ratio of AlCl3:diglyme = 1:5, the diglyme solution enabled deposition and dissolution of Al, which required relatively small overpotentials at room temperature. The deposits were not dendritic, indicating potential applications for Al plating or Al ion batteries.","author":[{"dropping-particle":"","family":"Kitada","given":"Atsushi","non-dropping-particle":"","parse-names":false,"suffix":""},{"dropping-particle":"","family":"Nakamura","given":"Kai","non-dropping-particle":"","parse-names":false,"suffix":""},{"dropping-particle":"","family":"Fukami","given":"Kazuhiro","non-dropping-particle":"","parse-names":false,"suffix":""},{"dropping-particle":"","family":"Murase","given":"Kuniaki","non-dropping-particle":"","parse-names":false,"suffix":""}],"container-title":"Electrochemistry","id":"ITEM-1","issue":"11","issued":{"date-parts":[["2014","11","5"]]},"page":"946-948","publisher":"Electrochemical Society of Japan","title":"AlCl3-dissolved diglyme as electrolyte for room-temperature aluminum electrodeposition","type":"article-journal","volume":"82"},"uris":["http://www.mendeley.com/documents/?uuid=9085e67c-beba-3ab4-aabc-5b0ca2e9f807"]},{"id":"ITEM-2","itemData":{"DOI":"10.1016/j.electacta.2016.05.063","ISSN":"00134686","abstract":"Electrochemically active species in aluminum (Al) electrodeposition baths using AlCl3 and less volatile solvents i.e. glymes were investigated. Raman spectroscopy revealed that all the glyme baths contained AlCl4- anions and Al-Cl-glyme cations as ionic species. Room temperature conductivities were as high as the order of 10-3 S cm-1 for the diglyme (G2), triglyme (G3) and tetraglyme (G4) baths, whereas that for the butyl diglyme (butylG2) bath was only 10-4 S cm-1 due to a lower concentration of ionic species. Surprisingly, electrochemical measurements showed that, among the glyme baths, only the G2 bath enabled electrodeposition of Al. Consequently, despite the similar structures of Al-Cl-glyme complex cations, only the G2 complex cations are electrochemically active. This suggests that the desolvation of glymes from Al-Cl-glyme cations and their subsequent reduction is exceptionally easy for the G2 complexes.","author":[{"dropping-particle":"","family":"Kitada","given":"Atsushi","non-dropping-particle":"","parse-names":false,"suffix":""},{"dropping-particle":"","family":"Nakamura","given":"Kai","non-dropping-particle":"","parse-names":false,"suffix":""},{"dropping-particle":"","family":"Fukami","given":"Kazuhiro","non-dropping-particle":"","parse-names":false,"suffix":""},{"dropping-particle":"","family":"Murase","given":"Kuniaki","non-dropping-particle":"","parse-names":false,"suffix":""}],"container-title":"Electrochimica Acta","id":"ITEM-2","issued":{"date-parts":[["2016","9","1"]]},"page":"561-567","publisher":"Elsevier Ltd","title":"Electrochemically active species in aluminum electrodeposition baths of AlCl3/glyme solutions","type":"article-journal","volume":"211"},"uris":["http://www.mendeley.com/documents/?uuid=6e952489-7b7c-3d1d-af15-56eae290fb5b"]},{"id":"ITEM-3","itemData":{"DOI":"10.1021/acsami.0c12602","ISSN":"1944-8244","abstract":"A concentrated aluminum chloride (AlCl3)-diglyme (G2) electrolyte is used to prepare hard and corrosion-resistant aluminum (Al) electrodeposited films. The Al electrodeposits obtained from the electrolyte with an AlCl3/G2 molar ratio x = 0.4 showed a void-free microstructure composed of spherical particles, in stark contrast to flake-like morphologies with micro-voids for lower x. Neutral complexes rarely exist in the x = 0.4 electrolyte, resulting in a relatively high conductivity despite the high concentration and high viscosity. Nanoindentation measurements for the Al deposits with &gt;99% purity revealed that the nanohardness was 2.86 GPa, three times higher than that for Al materials produced through electrodeposition from a well-known ionic liquid bath or through severe plastic deformation. Additionally, the void-free Al deposits had a &lt;100&gt; preferential crystal orientation, which accounted for better resistance to free corrosion and pitting corrosion. Discussions about the compact microstructure and &lt;100&gt; crystal orientation of deposits obtained only from the x = 0.4 concentrated electrolyte are also presented.","author":[{"dropping-particle":"","family":"Zhang","given":"Zelei","non-dropping-particle":"","parse-names":false,"suffix":""},{"dropping-particle":"","family":"Kitada","given":"Atsushi","non-dropping-particle":"","parse-names":false,"suffix":""},{"dropping-particle":"","family":"Gao","given":"Si","non-dropping-particle":"","parse-names":false,"suffix":""},{"dropping-particle":"","family":"Fukami","given":"Kazuhiro","non-dropping-particle":"","parse-names":false,"suffix":""},{"dropping-particle":"","family":"Tsuji","given":"Nobuhiro","non-dropping-particle":"","parse-names":false,"suffix":""},{"dropping-particle":"","family":"Yao","given":"Zhengjun","non-dropping-particle":"","parse-names":false,"suffix":""},{"dropping-particle":"","family":"Murase","given":"Kuniaki","non-dropping-particle":"","parse-names":false,"suffix":""}],"container-title":"ACS Applied Materials &amp; Interfaces","id":"ITEM-3","issue":"38","issued":{"date-parts":[["2020","9","23"]]},"page":"43289-43298","publisher":"NLM (Medline)","title":"A Concentrated AlCl &lt;sub&gt;3&lt;/sub&gt; –Diglyme Electrolyte for Hard and Corrosion-Resistant Aluminum Electrodeposits","type":"article-journal","volume":"12"},"uris":["http://www.mendeley.com/documents/?uuid=37f30186-0bde-314b-8526-c7a6c50012c3"]}],"mendeley":{"formattedCitation":"&lt;sup&gt;38–40&lt;/sup&gt;","plainTextFormattedCitation":"38–40","previouslyFormattedCitation":"&lt;sup&gt;38–40&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38–40</w:t>
      </w:r>
      <w:r w:rsidRPr="00905DD7">
        <w:rPr>
          <w:lang w:val="en-GB"/>
        </w:rPr>
        <w:fldChar w:fldCharType="end"/>
      </w:r>
      <w:r w:rsidRPr="00905DD7">
        <w:rPr>
          <w:lang w:val="en-GB"/>
        </w:rPr>
        <w:t xml:space="preserve"> </w:t>
      </w:r>
    </w:p>
    <w:p w14:paraId="531BA58D" w14:textId="21722C28" w:rsidR="001011D8" w:rsidRDefault="001011D8" w:rsidP="001C28BC">
      <w:pPr>
        <w:pStyle w:val="RSCB02ArticleText"/>
        <w:ind w:firstLine="284"/>
        <w:rPr>
          <w:lang w:val="en-GB"/>
        </w:rPr>
      </w:pPr>
      <w:r w:rsidRPr="00905DD7">
        <w:rPr>
          <w:lang w:val="en-GB"/>
        </w:rPr>
        <w:t>Subsequently, mixtures of G3:Al(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and G3:Ga(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were tested</w:t>
      </w:r>
      <w:r w:rsidR="003656C7">
        <w:rPr>
          <w:lang w:val="en-GB"/>
        </w:rPr>
        <w:t xml:space="preserve">. </w:t>
      </w:r>
      <w:r w:rsidR="00B41DAC">
        <w:rPr>
          <w:lang w:val="en-GB"/>
        </w:rPr>
        <w:t>Initially, it</w:t>
      </w:r>
      <w:r w:rsidR="003656C7">
        <w:rPr>
          <w:lang w:val="en-GB"/>
        </w:rPr>
        <w:t xml:space="preserve"> was anticipated that homogenous compounds could be </w:t>
      </w:r>
      <w:r w:rsidR="00B41DAC">
        <w:rPr>
          <w:lang w:val="en-GB"/>
        </w:rPr>
        <w:t>synthesised</w:t>
      </w:r>
      <w:r w:rsidR="003656C7">
        <w:rPr>
          <w:lang w:val="en-GB"/>
        </w:rPr>
        <w:t xml:space="preserve"> from equimolar reactants ratios, </w:t>
      </w:r>
      <w:r w:rsidR="003656C7" w:rsidRPr="00905DD7">
        <w:rPr>
          <w:rFonts w:ascii="Symbol" w:hAnsi="Symbol"/>
          <w:i/>
          <w:iCs/>
          <w:lang w:val="en-GB"/>
        </w:rPr>
        <w:t>c</w:t>
      </w:r>
      <w:r w:rsidR="003656C7" w:rsidRPr="00905DD7">
        <w:rPr>
          <w:vertAlign w:val="subscript"/>
          <w:lang w:val="en-GB"/>
        </w:rPr>
        <w:t>M(</w:t>
      </w:r>
      <w:proofErr w:type="spellStart"/>
      <w:r w:rsidR="003656C7" w:rsidRPr="00905DD7">
        <w:rPr>
          <w:vertAlign w:val="subscript"/>
          <w:lang w:val="en-GB"/>
        </w:rPr>
        <w:t>OTf</w:t>
      </w:r>
      <w:proofErr w:type="spellEnd"/>
      <w:r w:rsidR="003656C7" w:rsidRPr="00905DD7">
        <w:rPr>
          <w:vertAlign w:val="subscript"/>
          <w:lang w:val="en-GB"/>
        </w:rPr>
        <w:t>)3</w:t>
      </w:r>
      <w:r w:rsidR="003656C7" w:rsidRPr="00905DD7">
        <w:rPr>
          <w:i/>
          <w:iCs/>
          <w:lang w:val="en-GB"/>
        </w:rPr>
        <w:t xml:space="preserve"> </w:t>
      </w:r>
      <w:r w:rsidR="003656C7" w:rsidRPr="00905DD7">
        <w:rPr>
          <w:lang w:val="en-GB"/>
        </w:rPr>
        <w:t>= 0.</w:t>
      </w:r>
      <w:r w:rsidR="003656C7">
        <w:rPr>
          <w:lang w:val="en-GB"/>
        </w:rPr>
        <w:t>50</w:t>
      </w:r>
      <w:r w:rsidR="00B41DAC">
        <w:rPr>
          <w:lang w:val="en-GB"/>
        </w:rPr>
        <w:t xml:space="preserve"> (</w:t>
      </w:r>
      <w:r w:rsidR="00B41DAC">
        <w:fldChar w:fldCharType="begin"/>
      </w:r>
      <w:r w:rsidR="00B41DAC">
        <w:rPr>
          <w:lang w:val="en-GB"/>
        </w:rPr>
        <w:instrText xml:space="preserve"> REF _Ref174354209 \h </w:instrText>
      </w:r>
      <w:r w:rsidR="00B41DAC">
        <w:fldChar w:fldCharType="separate"/>
      </w:r>
      <w:r w:rsidR="00B41DAC">
        <w:t xml:space="preserve">Figure </w:t>
      </w:r>
      <w:r w:rsidR="00B41DAC">
        <w:rPr>
          <w:noProof/>
        </w:rPr>
        <w:t>2</w:t>
      </w:r>
      <w:r w:rsidR="00B41DAC">
        <w:fldChar w:fldCharType="end"/>
      </w:r>
      <w:r w:rsidR="00B41DAC">
        <w:rPr>
          <w:lang w:val="en-GB"/>
        </w:rPr>
        <w:t>a).</w:t>
      </w:r>
      <w:r w:rsidR="003656C7">
        <w:rPr>
          <w:lang w:val="en-GB"/>
        </w:rPr>
        <w:t xml:space="preserve"> </w:t>
      </w:r>
      <w:r w:rsidR="00B41DAC">
        <w:rPr>
          <w:lang w:val="en-GB"/>
        </w:rPr>
        <w:t xml:space="preserve">However, </w:t>
      </w:r>
      <w:r w:rsidRPr="00905DD7">
        <w:rPr>
          <w:lang w:val="en-GB"/>
        </w:rPr>
        <w:t xml:space="preserve">both </w:t>
      </w:r>
      <w:r w:rsidR="00B41DAC" w:rsidRPr="00905DD7">
        <w:rPr>
          <w:lang w:val="en-GB"/>
        </w:rPr>
        <w:t>G3:Al(</w:t>
      </w:r>
      <w:proofErr w:type="spellStart"/>
      <w:r w:rsidR="00B41DAC" w:rsidRPr="00905DD7">
        <w:rPr>
          <w:lang w:val="en-GB"/>
        </w:rPr>
        <w:t>OTf</w:t>
      </w:r>
      <w:proofErr w:type="spellEnd"/>
      <w:r w:rsidR="00B41DAC" w:rsidRPr="00905DD7">
        <w:rPr>
          <w:lang w:val="en-GB"/>
        </w:rPr>
        <w:t>)</w:t>
      </w:r>
      <w:r w:rsidR="00B41DAC" w:rsidRPr="00905DD7">
        <w:rPr>
          <w:vertAlign w:val="subscript"/>
          <w:lang w:val="en-GB"/>
        </w:rPr>
        <w:t>3</w:t>
      </w:r>
      <w:r w:rsidR="00B41DAC" w:rsidRPr="00905DD7">
        <w:rPr>
          <w:lang w:val="en-GB"/>
        </w:rPr>
        <w:t xml:space="preserve"> and G3:Ga(</w:t>
      </w:r>
      <w:proofErr w:type="spellStart"/>
      <w:r w:rsidR="00B41DAC" w:rsidRPr="00905DD7">
        <w:rPr>
          <w:lang w:val="en-GB"/>
        </w:rPr>
        <w:t>OTf</w:t>
      </w:r>
      <w:proofErr w:type="spellEnd"/>
      <w:r w:rsidR="00B41DAC" w:rsidRPr="00905DD7">
        <w:rPr>
          <w:lang w:val="en-GB"/>
        </w:rPr>
        <w:t>)</w:t>
      </w:r>
      <w:r w:rsidR="00B41DAC" w:rsidRPr="00905DD7">
        <w:rPr>
          <w:vertAlign w:val="subscript"/>
          <w:lang w:val="en-GB"/>
        </w:rPr>
        <w:t>3</w:t>
      </w:r>
      <w:r w:rsidR="00B41DAC" w:rsidRPr="00905DD7">
        <w:rPr>
          <w:lang w:val="en-GB"/>
        </w:rPr>
        <w:t xml:space="preserve"> </w:t>
      </w:r>
      <w:r w:rsidR="00B41DAC">
        <w:rPr>
          <w:lang w:val="en-GB"/>
        </w:rPr>
        <w:t xml:space="preserve">systems </w:t>
      </w:r>
      <w:r w:rsidRPr="00905DD7">
        <w:rPr>
          <w:lang w:val="en-GB"/>
        </w:rPr>
        <w:t xml:space="preserve">formed homogenous liquids </w:t>
      </w:r>
      <w:r w:rsidR="0087162A">
        <w:rPr>
          <w:lang w:val="en-GB"/>
        </w:rPr>
        <w:t xml:space="preserve">from very low metal triflate loadings, </w:t>
      </w:r>
      <w:r w:rsidR="00B41DAC">
        <w:rPr>
          <w:lang w:val="en-GB"/>
        </w:rPr>
        <w:t xml:space="preserve">up to </w:t>
      </w:r>
      <w:r w:rsidR="0025076F" w:rsidRPr="00905DD7">
        <w:rPr>
          <w:rFonts w:ascii="Symbol" w:hAnsi="Symbol"/>
          <w:i/>
          <w:iCs/>
          <w:lang w:val="en-GB"/>
        </w:rPr>
        <w:t>c</w:t>
      </w:r>
      <w:r w:rsidRPr="00905DD7">
        <w:rPr>
          <w:vertAlign w:val="subscript"/>
          <w:lang w:val="en-GB"/>
        </w:rPr>
        <w:t>M(</w:t>
      </w:r>
      <w:proofErr w:type="spellStart"/>
      <w:r w:rsidRPr="00905DD7">
        <w:rPr>
          <w:vertAlign w:val="subscript"/>
          <w:lang w:val="en-GB"/>
        </w:rPr>
        <w:t>OTf</w:t>
      </w:r>
      <w:proofErr w:type="spellEnd"/>
      <w:r w:rsidRPr="00905DD7">
        <w:rPr>
          <w:vertAlign w:val="subscript"/>
          <w:lang w:val="en-GB"/>
        </w:rPr>
        <w:t>)3</w:t>
      </w:r>
      <w:r w:rsidRPr="00905DD7">
        <w:rPr>
          <w:i/>
          <w:iCs/>
          <w:lang w:val="en-GB"/>
        </w:rPr>
        <w:t xml:space="preserve"> </w:t>
      </w:r>
      <w:r w:rsidRPr="00905DD7">
        <w:rPr>
          <w:lang w:val="en-GB"/>
        </w:rPr>
        <w:t>= 0.33</w:t>
      </w:r>
      <w:r w:rsidR="0087162A">
        <w:rPr>
          <w:lang w:val="en-GB"/>
        </w:rPr>
        <w:t xml:space="preserve">, which is equivalent to </w:t>
      </w:r>
      <w:r w:rsidR="00B41DAC">
        <w:rPr>
          <w:lang w:val="en-GB"/>
        </w:rPr>
        <w:t>two moles of G3 per mole of M(</w:t>
      </w:r>
      <w:proofErr w:type="spellStart"/>
      <w:r w:rsidR="00B41DAC">
        <w:rPr>
          <w:lang w:val="en-GB"/>
        </w:rPr>
        <w:t>OTf</w:t>
      </w:r>
      <w:proofErr w:type="spellEnd"/>
      <w:r w:rsidR="00B41DAC">
        <w:rPr>
          <w:lang w:val="en-GB"/>
        </w:rPr>
        <w:t>)</w:t>
      </w:r>
      <w:r w:rsidR="00B41DAC" w:rsidRPr="00AB681A">
        <w:rPr>
          <w:vertAlign w:val="subscript"/>
        </w:rPr>
        <w:t>3</w:t>
      </w:r>
      <w:r w:rsidR="0087162A">
        <w:rPr>
          <w:lang w:val="en-GB"/>
        </w:rPr>
        <w:t xml:space="preserve">. This suggested possible formation of both ionic and charge-neutral complexes (exemplified in </w:t>
      </w:r>
      <w:r w:rsidR="00B41DAC">
        <w:fldChar w:fldCharType="begin"/>
      </w:r>
      <w:r w:rsidR="00B41DAC">
        <w:rPr>
          <w:lang w:val="en-GB"/>
        </w:rPr>
        <w:instrText xml:space="preserve"> REF _Ref174354209 \h </w:instrText>
      </w:r>
      <w:r w:rsidR="00B41DAC">
        <w:fldChar w:fldCharType="separate"/>
      </w:r>
      <w:r w:rsidR="00B41DAC">
        <w:t xml:space="preserve">Figure </w:t>
      </w:r>
      <w:r w:rsidR="00B41DAC">
        <w:rPr>
          <w:noProof/>
        </w:rPr>
        <w:t>2</w:t>
      </w:r>
      <w:r w:rsidR="00B41DAC">
        <w:fldChar w:fldCharType="end"/>
      </w:r>
      <w:r w:rsidR="00B41DAC">
        <w:rPr>
          <w:lang w:val="en-GB"/>
        </w:rPr>
        <w:t>b)</w:t>
      </w:r>
      <w:r w:rsidR="0087162A">
        <w:rPr>
          <w:lang w:val="en-GB"/>
        </w:rPr>
        <w:t xml:space="preserve">, but also significantly more complex species, with either triflates or </w:t>
      </w:r>
      <w:proofErr w:type="spellStart"/>
      <w:r w:rsidR="0087162A">
        <w:rPr>
          <w:lang w:val="en-GB"/>
        </w:rPr>
        <w:t>glymes</w:t>
      </w:r>
      <w:proofErr w:type="spellEnd"/>
      <w:r w:rsidR="0087162A">
        <w:rPr>
          <w:lang w:val="en-GB"/>
        </w:rPr>
        <w:t xml:space="preserve"> acting as bridging ligands</w:t>
      </w:r>
      <w:r w:rsidRPr="00905DD7">
        <w:rPr>
          <w:lang w:val="en-GB"/>
        </w:rPr>
        <w:t xml:space="preserve">. </w:t>
      </w:r>
      <w:r w:rsidR="001C28BC">
        <w:rPr>
          <w:lang w:val="en-GB"/>
        </w:rPr>
        <w:t>A</w:t>
      </w:r>
      <w:r w:rsidR="001C28BC" w:rsidRPr="00905DD7">
        <w:rPr>
          <w:lang w:val="en-GB"/>
        </w:rPr>
        <w:t xml:space="preserve">pparent viscosity and yellow/orange colour </w:t>
      </w:r>
      <w:r w:rsidR="001C28BC">
        <w:rPr>
          <w:lang w:val="en-GB"/>
        </w:rPr>
        <w:t xml:space="preserve">of the formed SILs </w:t>
      </w:r>
      <w:r w:rsidR="001C28BC" w:rsidRPr="00905DD7">
        <w:rPr>
          <w:lang w:val="en-GB"/>
        </w:rPr>
        <w:t>decreased with decreasing metal loading</w:t>
      </w:r>
      <w:r w:rsidR="001C28BC">
        <w:rPr>
          <w:lang w:val="en-GB"/>
        </w:rPr>
        <w:t xml:space="preserve"> (Table 1)</w:t>
      </w:r>
      <w:r w:rsidR="001C28BC" w:rsidRPr="00905DD7">
        <w:rPr>
          <w:lang w:val="en-GB"/>
        </w:rPr>
        <w:t>.</w:t>
      </w:r>
    </w:p>
    <w:p w14:paraId="5D6FD6F6" w14:textId="40A3E027" w:rsidR="003656C7" w:rsidRPr="00905DD7" w:rsidRDefault="00B41DAC" w:rsidP="00ED61EB">
      <w:pPr>
        <w:pStyle w:val="RSCI02FigureSchemeChartwithtopbar"/>
        <w:keepNext/>
        <w:jc w:val="center"/>
      </w:pPr>
      <w:r w:rsidRPr="00B41DAC">
        <w:rPr>
          <w:noProof/>
        </w:rPr>
        <w:drawing>
          <wp:inline distT="0" distB="0" distL="0" distR="0" wp14:anchorId="69DB0BF0" wp14:editId="0DA4DDF1">
            <wp:extent cx="2844177" cy="2158359"/>
            <wp:effectExtent l="0" t="0" r="635" b="1270"/>
            <wp:docPr id="957449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49846" name=""/>
                    <pic:cNvPicPr/>
                  </pic:nvPicPr>
                  <pic:blipFill>
                    <a:blip r:embed="rId15"/>
                    <a:stretch>
                      <a:fillRect/>
                    </a:stretch>
                  </pic:blipFill>
                  <pic:spPr>
                    <a:xfrm>
                      <a:off x="0" y="0"/>
                      <a:ext cx="2853194" cy="2165202"/>
                    </a:xfrm>
                    <a:prstGeom prst="rect">
                      <a:avLst/>
                    </a:prstGeom>
                  </pic:spPr>
                </pic:pic>
              </a:graphicData>
            </a:graphic>
          </wp:inline>
        </w:drawing>
      </w:r>
    </w:p>
    <w:p w14:paraId="1B06EE26" w14:textId="4F3162B1" w:rsidR="00B41DAC" w:rsidRDefault="00B41DAC" w:rsidP="00ED61EB">
      <w:pPr>
        <w:pStyle w:val="RSCI05CaptiontoFigureSchemeChartwithbottombar"/>
      </w:pPr>
      <w:bookmarkStart w:id="5" w:name="_Ref174354209"/>
      <w:r w:rsidRPr="00ED61EB">
        <w:rPr>
          <w:b/>
          <w:bCs w:val="0"/>
        </w:rPr>
        <w:t xml:space="preserve">Figure </w:t>
      </w:r>
      <w:r w:rsidRPr="00ED61EB">
        <w:rPr>
          <w:b/>
          <w:bCs w:val="0"/>
        </w:rPr>
        <w:fldChar w:fldCharType="begin"/>
      </w:r>
      <w:r w:rsidRPr="00ED61EB">
        <w:rPr>
          <w:b/>
          <w:bCs w:val="0"/>
        </w:rPr>
        <w:instrText xml:space="preserve"> SEQ Figure \* ARABIC </w:instrText>
      </w:r>
      <w:r w:rsidRPr="00ED61EB">
        <w:rPr>
          <w:b/>
          <w:bCs w:val="0"/>
        </w:rPr>
        <w:fldChar w:fldCharType="separate"/>
      </w:r>
      <w:r w:rsidRPr="00ED61EB">
        <w:rPr>
          <w:b/>
          <w:bCs w:val="0"/>
          <w:noProof/>
        </w:rPr>
        <w:t>2</w:t>
      </w:r>
      <w:r w:rsidRPr="00ED61EB">
        <w:rPr>
          <w:b/>
          <w:bCs w:val="0"/>
        </w:rPr>
        <w:fldChar w:fldCharType="end"/>
      </w:r>
      <w:bookmarkEnd w:id="5"/>
      <w:r w:rsidRPr="00ED61EB">
        <w:rPr>
          <w:b/>
          <w:bCs w:val="0"/>
        </w:rPr>
        <w:t>.</w:t>
      </w:r>
      <w:r>
        <w:t xml:space="preserve"> Hypothetical speciation of Al-SILs synthesised</w:t>
      </w:r>
      <w:r w:rsidR="00DE0469">
        <w:t xml:space="preserve"> at a) </w:t>
      </w:r>
      <w:r w:rsidR="00DE0469" w:rsidRPr="00905DD7">
        <w:rPr>
          <w:rFonts w:ascii="Symbol" w:hAnsi="Symbol"/>
          <w:i/>
          <w:iCs/>
        </w:rPr>
        <w:t>c</w:t>
      </w:r>
      <w:r w:rsidR="00DE0469" w:rsidRPr="00905DD7">
        <w:rPr>
          <w:vertAlign w:val="subscript"/>
        </w:rPr>
        <w:t>M(</w:t>
      </w:r>
      <w:proofErr w:type="spellStart"/>
      <w:r w:rsidR="00DE0469" w:rsidRPr="00905DD7">
        <w:rPr>
          <w:vertAlign w:val="subscript"/>
        </w:rPr>
        <w:t>OTf</w:t>
      </w:r>
      <w:proofErr w:type="spellEnd"/>
      <w:r w:rsidR="00DE0469" w:rsidRPr="00905DD7">
        <w:rPr>
          <w:vertAlign w:val="subscript"/>
        </w:rPr>
        <w:t>)3</w:t>
      </w:r>
      <w:r w:rsidR="00DE0469" w:rsidRPr="00905DD7">
        <w:rPr>
          <w:i/>
          <w:iCs/>
        </w:rPr>
        <w:t xml:space="preserve"> </w:t>
      </w:r>
      <w:r w:rsidR="00DE0469" w:rsidRPr="00905DD7">
        <w:t>= 0.</w:t>
      </w:r>
      <w:r w:rsidR="00DE0469">
        <w:t>50</w:t>
      </w:r>
      <w:r w:rsidR="001C28BC">
        <w:t xml:space="preserve"> (reaction did not proceed to completion), and b) </w:t>
      </w:r>
      <w:r w:rsidR="001C28BC" w:rsidRPr="00905DD7">
        <w:rPr>
          <w:rFonts w:ascii="Symbol" w:hAnsi="Symbol"/>
          <w:i/>
          <w:iCs/>
        </w:rPr>
        <w:t>c</w:t>
      </w:r>
      <w:r w:rsidR="001C28BC" w:rsidRPr="00905DD7">
        <w:rPr>
          <w:vertAlign w:val="subscript"/>
        </w:rPr>
        <w:t>M(</w:t>
      </w:r>
      <w:proofErr w:type="spellStart"/>
      <w:r w:rsidR="001C28BC" w:rsidRPr="00905DD7">
        <w:rPr>
          <w:vertAlign w:val="subscript"/>
        </w:rPr>
        <w:t>OTf</w:t>
      </w:r>
      <w:proofErr w:type="spellEnd"/>
      <w:r w:rsidR="001C28BC" w:rsidRPr="00905DD7">
        <w:rPr>
          <w:vertAlign w:val="subscript"/>
        </w:rPr>
        <w:t>)3</w:t>
      </w:r>
      <w:r w:rsidR="001C28BC" w:rsidRPr="00905DD7">
        <w:rPr>
          <w:i/>
          <w:iCs/>
        </w:rPr>
        <w:t xml:space="preserve"> </w:t>
      </w:r>
      <w:r w:rsidR="001C28BC" w:rsidRPr="00905DD7">
        <w:t>= 0.</w:t>
      </w:r>
      <w:r w:rsidR="001C28BC">
        <w:t>33 (reaction gave a homogenous liquid).</w:t>
      </w:r>
    </w:p>
    <w:p w14:paraId="09B12687" w14:textId="252BDC68" w:rsidR="0025076F" w:rsidRPr="00905DD7" w:rsidRDefault="0025076F" w:rsidP="00B14824">
      <w:pPr>
        <w:pStyle w:val="RSCB06BHeadingSub-Section"/>
      </w:pPr>
      <w:r w:rsidRPr="00905DD7">
        <w:t>Acidity measurement by Gutmann acceptor number</w:t>
      </w:r>
    </w:p>
    <w:p w14:paraId="31A8B4A7" w14:textId="48420DE2" w:rsidR="00B64559" w:rsidRPr="00905DD7" w:rsidRDefault="00D4443C" w:rsidP="00A837DA">
      <w:pPr>
        <w:pStyle w:val="RSCB02ArticleText"/>
        <w:rPr>
          <w:lang w:val="en-GB"/>
        </w:rPr>
      </w:pPr>
      <w:r w:rsidRPr="000E2B3F">
        <w:rPr>
          <w:lang w:val="en-GB"/>
        </w:rPr>
        <w:t xml:space="preserve">There are several scales </w:t>
      </w:r>
      <w:r w:rsidR="00D93E46" w:rsidRPr="000E2B3F">
        <w:rPr>
          <w:lang w:val="en-GB"/>
        </w:rPr>
        <w:t>currently</w:t>
      </w:r>
      <w:r w:rsidRPr="000E2B3F">
        <w:rPr>
          <w:lang w:val="en-GB"/>
        </w:rPr>
        <w:t xml:space="preserve"> used to measure Lewis acidity</w:t>
      </w:r>
      <w:r w:rsidR="00D93E46" w:rsidRPr="000E2B3F">
        <w:rPr>
          <w:lang w:val="en-GB"/>
        </w:rPr>
        <w:t xml:space="preserve"> by different research groups</w:t>
      </w:r>
      <w:r w:rsidRPr="000E2B3F">
        <w:rPr>
          <w:lang w:val="en-GB"/>
        </w:rPr>
        <w:t xml:space="preserve">; </w:t>
      </w:r>
      <w:r w:rsidR="00D93E46" w:rsidRPr="000E2B3F">
        <w:rPr>
          <w:lang w:val="en-GB"/>
        </w:rPr>
        <w:t>each relies on</w:t>
      </w:r>
      <w:r w:rsidRPr="000E2B3F">
        <w:rPr>
          <w:lang w:val="en-GB"/>
        </w:rPr>
        <w:t xml:space="preserve"> a probe </w:t>
      </w:r>
      <w:r w:rsidR="00D93E46" w:rsidRPr="000E2B3F">
        <w:rPr>
          <w:lang w:val="en-GB"/>
        </w:rPr>
        <w:t>that</w:t>
      </w:r>
      <w:r w:rsidRPr="000E2B3F">
        <w:rPr>
          <w:lang w:val="en-GB"/>
        </w:rPr>
        <w:t xml:space="preserve"> interact</w:t>
      </w:r>
      <w:r w:rsidR="00D93E46" w:rsidRPr="000E2B3F">
        <w:rPr>
          <w:lang w:val="en-GB"/>
        </w:rPr>
        <w:t>s</w:t>
      </w:r>
      <w:r w:rsidRPr="000E2B3F">
        <w:rPr>
          <w:lang w:val="en-GB"/>
        </w:rPr>
        <w:t xml:space="preserve"> with a Lewis acid, and experimental or computational methods are used to quantify the strength of the interaction. Computational </w:t>
      </w:r>
      <w:r w:rsidR="00D93E46" w:rsidRPr="000E2B3F">
        <w:rPr>
          <w:lang w:val="en-GB"/>
        </w:rPr>
        <w:t xml:space="preserve">methods: </w:t>
      </w:r>
      <w:r w:rsidRPr="000E2B3F">
        <w:rPr>
          <w:lang w:val="en-GB"/>
        </w:rPr>
        <w:t>Global Electrophilicity Index</w:t>
      </w:r>
      <w:r w:rsidR="00D93E46" w:rsidRPr="000E2B3F">
        <w:rPr>
          <w:lang w:val="en-GB"/>
        </w:rPr>
        <w:t xml:space="preserve"> (GEI),</w:t>
      </w:r>
      <w:r w:rsidRPr="000E2B3F">
        <w:rPr>
          <w:lang w:val="en-GB"/>
        </w:rPr>
        <w:fldChar w:fldCharType="begin" w:fldLock="1"/>
      </w:r>
      <w:r w:rsidR="0026470D">
        <w:rPr>
          <w:lang w:val="en-GB"/>
        </w:rPr>
        <w:instrText>ADDIN CSL_CITATION {"citationItems":[{"id":"ITEM-1","itemData":{"DOI":"10.1039/c8dt01699b","ISSN":"14779234","PMID":"29737357","abstract":"The global electrophilicity index, GEI, is used as a general, quantitative and base-independent metric of Lewis acidity. This parameter has been benchmarked against the established fluoride ion affinity, FIA, for a range of 22 neutral and cationic Lewis acids from across the p-block, including boranes, trityl derivatives, phosphonium cations and sulfoxonium cations. As a demonstration of utility, the GEI is used to catalogue a library of fluoroaryl boranes as it provides a rapid tool for the comparison of a series of Lewis acids featuring peripheral substituent variation.","author":[{"dropping-particle":"","family":"Jupp","given":"Andrew R.","non-dropping-particle":"","parse-names":false,"suffix":""},{"dropping-particle":"","family":"Johnstone","given":"Timothy C.","non-dropping-particle":"","parse-names":false,"suffix":""},{"dropping-particle":"","family":"Stephan","given":"Douglas W.","non-dropping-particle":"","parse-names":false,"suffix":""}],"container-title":"Dalton Transactions","id":"ITEM-1","issue":"20","issued":{"date-parts":[["2018","5","22"]]},"page":"7029-7035","publisher":"The Royal Society of Chemistry","title":"The global electrophilicity index as a metric for Lewis acidity","type":"article-journal","volume":"47"},"uris":["http://www.mendeley.com/documents/?uuid=9d839202-c8b7-324c-92ab-aa409af0c2f7"]}],"mendeley":{"formattedCitation":"&lt;sup&gt;41&lt;/sup&gt;","plainTextFormattedCitation":"41","previouslyFormattedCitation":"&lt;sup&gt;41&lt;/sup&gt;"},"properties":{"noteIndex":0},"schema":"https://github.com/citation-style-language/schema/raw/master/csl-citation.json"}</w:instrText>
      </w:r>
      <w:r w:rsidRPr="000E2B3F">
        <w:rPr>
          <w:lang w:val="en-GB"/>
        </w:rPr>
        <w:fldChar w:fldCharType="separate"/>
      </w:r>
      <w:r w:rsidR="0026470D" w:rsidRPr="0026470D">
        <w:rPr>
          <w:noProof/>
          <w:vertAlign w:val="superscript"/>
          <w:lang w:val="en-GB"/>
        </w:rPr>
        <w:t>41</w:t>
      </w:r>
      <w:r w:rsidRPr="000E2B3F">
        <w:rPr>
          <w:lang w:val="en-GB"/>
        </w:rPr>
        <w:fldChar w:fldCharType="end"/>
      </w:r>
      <w:r w:rsidRPr="000E2B3F">
        <w:rPr>
          <w:lang w:val="en-GB"/>
        </w:rPr>
        <w:t xml:space="preserve"> Fluoride Ion Affinity</w:t>
      </w:r>
      <w:r w:rsidR="00D93E46" w:rsidRPr="000E2B3F">
        <w:rPr>
          <w:lang w:val="en-GB"/>
        </w:rPr>
        <w:t xml:space="preserve"> (FIA) and Hydride Ion Affinity (HIA),</w:t>
      </w:r>
      <w:r w:rsidRPr="000E2B3F">
        <w:rPr>
          <w:lang w:val="en-GB"/>
        </w:rPr>
        <w:fldChar w:fldCharType="begin" w:fldLock="1"/>
      </w:r>
      <w:r w:rsidR="0026470D">
        <w:rPr>
          <w:lang w:val="en-GB"/>
        </w:rPr>
        <w:instrText>ADDIN CSL_CITATION {"citationItems":[{"id":"ITEM-1","itemData":{"DOI":"10.1002/cphc.202000244","ISSN":"14397641","PMID":"32212357","abstract":"The computed fluoride ion affinity (FIA) is a valuable descriptor to assess the Lewis acidity of a compound. Despite its widespread use, the varying accuracy of applied computational models hampers the broad comparability of literature data. Herein, we evaluate the performance of selected methods (like DLPNO-CCSD(T)) in FIA computations against CCSD(T)/CBS data and guide for the choice of suitable density functionals that allow the treatment of larger Lewis acids. Based on the benchmarked methods, we computed an extensive set of gas-phase and solvation corrected FIA, that is covering group 13–16 elements featuring moderate to strong electron-withdrawing substituents (190 entries). It permits an unbiased comparison of FIA over a significant fraction of the periodic table, serves as a source of reference for future synthetic or theoretical studies, and allows to derive some simple design principles for strong fluoride ion acceptors. Finally, the manuscript includes a tutorial section for the computation of FIA with and without the consideration of solvation.","author":[{"dropping-particle":"","family":"Erdmann","given":"Philipp","non-dropping-particle":"","parse-names":false,"suffix":""},{"dropping-particle":"","family":"Leitner","given":"Jonas","non-dropping-particle":"","parse-names":false,"suffix":""},{"dropping-particle":"","family":"Schwarz","given":"Julia","non-dropping-particle":"","parse-names":false,"suffix":""},{"dropping-particle":"","family":"Greb","given":"Lutz","non-dropping-particle":"","parse-names":false,"suffix":""}],"container-title":"ChemPhysChem","id":"ITEM-1","issue":"10","issued":{"date-parts":[["2020","5","18"]]},"page":"987-994","publisher":"John Wiley &amp; Sons, Ltd","title":"An Extensive Set of Accurate Fluoride Ion Affinities for p-Block Element Lewis Acids and Basic Design Principles for Strong Fluoride Ion Acceptors","type":"article-journal","volume":"21"},"uris":["http://www.mendeley.com/documents/?uuid=de9f526a-11fe-3094-865b-1f98efa49cb3"]}],"mendeley":{"formattedCitation":"&lt;sup&gt;42&lt;/sup&gt;","plainTextFormattedCitation":"42","previouslyFormattedCitation":"&lt;sup&gt;42&lt;/sup&gt;"},"properties":{"noteIndex":0},"schema":"https://github.com/citation-style-language/schema/raw/master/csl-citation.json"}</w:instrText>
      </w:r>
      <w:r w:rsidRPr="000E2B3F">
        <w:rPr>
          <w:lang w:val="en-GB"/>
        </w:rPr>
        <w:fldChar w:fldCharType="separate"/>
      </w:r>
      <w:r w:rsidR="0026470D" w:rsidRPr="0026470D">
        <w:rPr>
          <w:noProof/>
          <w:vertAlign w:val="superscript"/>
          <w:lang w:val="en-GB"/>
        </w:rPr>
        <w:t>42</w:t>
      </w:r>
      <w:r w:rsidRPr="000E2B3F">
        <w:rPr>
          <w:lang w:val="en-GB"/>
        </w:rPr>
        <w:fldChar w:fldCharType="end"/>
      </w:r>
      <w:r w:rsidR="00D93E46" w:rsidRPr="000E2B3F">
        <w:rPr>
          <w:lang w:val="en-GB"/>
        </w:rPr>
        <w:t xml:space="preserve"> gain increasing popularity, but they require detailed information on </w:t>
      </w:r>
      <w:r w:rsidR="00D93E46" w:rsidRPr="000E2B3F">
        <w:rPr>
          <w:lang w:val="en-GB"/>
        </w:rPr>
        <w:t>the structure of the investigated species to accurately perform electronic structure computations, optimise geometry, or</w:t>
      </w:r>
      <w:r w:rsidR="00D93E46" w:rsidRPr="00D4443C">
        <w:rPr>
          <w:lang w:val="en-GB"/>
        </w:rPr>
        <w:t xml:space="preserve"> evaluate enthalpy changes associated with fluoride</w:t>
      </w:r>
      <w:r w:rsidR="00D93E46">
        <w:rPr>
          <w:lang w:val="en-GB"/>
        </w:rPr>
        <w:t>/hydride</w:t>
      </w:r>
      <w:r w:rsidR="00D93E46" w:rsidRPr="00D4443C">
        <w:rPr>
          <w:lang w:val="en-GB"/>
        </w:rPr>
        <w:t xml:space="preserve"> coordination.</w:t>
      </w:r>
      <w:r w:rsidR="00D93E46">
        <w:rPr>
          <w:lang w:val="en-GB"/>
        </w:rPr>
        <w:t xml:space="preserve"> Spectroscopic methods, proposed by </w:t>
      </w:r>
      <w:r>
        <w:rPr>
          <w:lang w:val="en-GB"/>
        </w:rPr>
        <w:t xml:space="preserve">Gutmann </w:t>
      </w:r>
      <w:r w:rsidR="00D93E46">
        <w:rPr>
          <w:lang w:val="en-GB"/>
        </w:rPr>
        <w:t>or</w:t>
      </w:r>
      <w:r>
        <w:rPr>
          <w:lang w:val="en-GB"/>
        </w:rPr>
        <w:t xml:space="preserve"> Childs</w:t>
      </w:r>
      <w:r w:rsidR="00D93E46">
        <w:rPr>
          <w:lang w:val="en-GB"/>
        </w:rPr>
        <w:t>, are based on NMR spectroscopic probes. They offer less fundamental insights, but they can be used without knowing the speciation, and in some cases – they were successfully used to corroborate speciation studies.</w:t>
      </w:r>
      <w:r w:rsidR="00A837DA">
        <w:rPr>
          <w:lang w:val="en-GB"/>
        </w:rPr>
        <w:fldChar w:fldCharType="begin" w:fldLock="1"/>
      </w:r>
      <w:r w:rsidR="0026470D">
        <w:rPr>
          <w:lang w:val="en-GB"/>
        </w:rPr>
        <w:instrText>ADDIN CSL_CITATION {"citationItems":[{"id":"ITEM-1","itemData":{"DOI":"10.1021/IC200586U/SUPPL_FILE/IC200586U_SI_002.CIF","ISSN":"00201669","abstract":"The speciation of chlorozincate(II) ionic liquids, prepared by mixing 1-octyl-3-methylimidazolium chloride, [C8mim]Cl, and zinc(II) chloride in various molar ratios, XZnCl2, was investigated using Raman spectroscopy and differential scanning calorimetry; the Gutmann acceptor number, which is a quantitative measure of Lewis acidity, was also determined as a function of the composition. These results were combined with literature data to define the anionic speciation; in the neat liquid phase, the existence of Cl-, [ZnCl4]2-, [Zn2Cl 6]2-, [Zn3Cl8]2-, and [Zn4Cl10]2- anions was confirmed. From two chlorozincate(II) ionic liquids with [C2mim]+ cations (XZnCl 2 = 0.33 and XZnCl2 = 0.50), crystals have been obtained, revealing the structures of [C2mim]2[ZnCl4] and [C2mim]2[Zn2Cl6] forming three-dimensional hydrogen-bond networks. The compound [C2mim] 2{Zn4Cl10} was crystallized from the XZnCl 2 = 0.75 composition, showing an open-framework structure, with the first example of zinc in a trigonal-bipyramidal chloride coordination. Reinvestigation of the electrospray ionization mass spectrometry of these systems demonstrated that it is an unreliable technique to study liquid-phase speciation. © 2011 American Chemical Society.","author":[{"dropping-particle":"","family":"Estager","given":"Julien","non-dropping-particle":"","parse-names":false,"suffix":""},{"dropping-particle":"","family":"Nockemann","given":"Peter","non-dropping-particle":"","parse-names":false,"suffix":""},{"dropping-particle":"","family":"Seddon","given":"Kenneth R.","non-dropping-particle":"","parse-names":false,"suffix":""},{"dropping-particle":"","family":"Swadźba-Kwaśny","given":"Mazgorzata","non-dropping-particle":"","parse-names":false,"suffix":""},{"dropping-particle":"","family":"Tyrrell","given":"Sophie","non-dropping-particle":"","parse-names":false,"suffix":""}],"container-title":"Inorganic Chemistry","id":"ITEM-1","issue":"11","issued":{"date-parts":[["2011","6","6"]]},"page":"5258-5271","publisher":"American Chemical Society","title":"Validation of speciation techniques: A study of chlorozincate(II) ionic liquids","type":"article-journal","volume":"50"},"uris":["http://www.mendeley.com/documents/?uuid=ddf89418-6982-3621-a950-38d1e7d9f930"]},{"id":"ITEM-2","itemData":{"DOI":"10.1021/IC300241P/SUPPL_FILE/IC300241P_SI_001.CIF","ISSN":"00201669","PMID":"22676305","abstract":"The anionic speciation of chlorostannate(II) ionic liquids, prepared by mixing 1-alkyl-3-methylimidazolium chloride and tin(II) chloride in various molar ratios, χSnCl2, was investigated in both solid and liquid states. The room temperature ionic liquids were investigated by 119Sn NMR spectroscopy, X-ray photoelectron spectroscopy, and viscometry. Crystalline samples were studied using Raman spectroscopy, single-crystal X-ray crystallography, and differential scanning calorimetry. Both liquid and solid systems (crystallized from the melt) contained [SnCl3]- in equilibrium with Cl- when χSnCl2 &lt; 0.50, [SnCl3]- in equilibrium with [Sn2Cl 5]- when χSnCl2 &gt; 0.50, and only [SnCl3]- when χSnCl2 = 0.50. Tin(II) chloride was found to precipitate when χSnCl2 &gt; 0.63. No evidence was detected for the existence of [SnCl4]2- across the entire range of χSnCl2, although such anions have been reported in the literature for chlorostannate(II) organic salts crystallized from organic solvents. Furthermore, the Lewis acidity of the chlorostannate(II)-based systems, expressed by their Gutmann acceptor number, has been determined as a function of the composition, χSnCl2, to reveal Lewis acidity for χSnCl2 &gt; 0.50 samples comparable to the analogous systems based on zinc(II). A change of the Lewis basicity of the anion was estimated using 1H NMR spectroscopy, by comparison of the measured chemical shifts of the C-2 hydrogen in the imidazolium ring. Finally, compositions containing free chloride anions (χSnCl2 &lt; 0.50) were found to oxidize slowly in air to form a chlorostannate(IV) ionic liquid containing the [SnCl6]2- anion. © 2012 American Chemical Society.","author":[{"dropping-particle":"","family":"Currie","given":"Matthew","non-dropping-particle":"","parse-names":false,"suffix":""},{"dropping-particle":"","family":"Estager","given":"Julien","non-dropping-particle":"","parse-names":false,"suffix":""},{"dropping-particle":"","family":"Licence","given":"Peter","non-dropping-particle":"","parse-names":false,"suffix":""},{"dropping-particle":"","family":"Men","given":"Shuang","non-dropping-particle":"","parse-names":false,"suffix":""},{"dropping-particle":"","family":"Nockemann","given":"Peter","non-dropping-particle":"","parse-names":false,"suffix":""},{"dropping-particle":"","family":"Seddon","given":"Kenneth R.","non-dropping-particle":"","parse-names":false,"suffix":""},{"dropping-particle":"","family":"Swadźba-Kwaśny","given":"Małgorzata","non-dropping-particle":"","parse-names":false,"suffix":""},{"dropping-particle":"","family":"Terrade","given":"Cécile","non-dropping-particle":"","parse-names":false,"suffix":""}],"container-title":"Inorganic Chemistry","id":"ITEM-2","issue":"4","issued":{"date-parts":[["2013","2","18"]]},"page":"1710-1721","publisher":"American Chemical Society","title":"Chlorostannate(II) ionic liquids: Speciation, lewis acidity, and oxidative stability","type":"article-journal","volume":"52"},"uris":["http://www.mendeley.com/documents/?uuid=fa29c3bf-3198-3828-b49b-697503907fd8"]}],"mendeley":{"formattedCitation":"&lt;sup&gt;43,44&lt;/sup&gt;","plainTextFormattedCitation":"43,44","previouslyFormattedCitation":"&lt;sup&gt;43,44&lt;/sup&gt;"},"properties":{"noteIndex":0},"schema":"https://github.com/citation-style-language/schema/raw/master/csl-citation.json"}</w:instrText>
      </w:r>
      <w:r w:rsidR="00A837DA">
        <w:rPr>
          <w:lang w:val="en-GB"/>
        </w:rPr>
        <w:fldChar w:fldCharType="separate"/>
      </w:r>
      <w:r w:rsidR="0026470D" w:rsidRPr="0026470D">
        <w:rPr>
          <w:noProof/>
          <w:vertAlign w:val="superscript"/>
          <w:lang w:val="en-GB"/>
        </w:rPr>
        <w:t>43,44</w:t>
      </w:r>
      <w:r w:rsidR="00A837DA">
        <w:rPr>
          <w:lang w:val="en-GB"/>
        </w:rPr>
        <w:fldChar w:fldCharType="end"/>
      </w:r>
      <w:r w:rsidR="00D93E46">
        <w:rPr>
          <w:lang w:val="en-GB"/>
        </w:rPr>
        <w:t xml:space="preserve"> Since </w:t>
      </w:r>
      <w:r w:rsidR="0025076F" w:rsidRPr="00D4443C">
        <w:rPr>
          <w:lang w:val="en-GB"/>
        </w:rPr>
        <w:t>Gutmann acceptor number (AN)</w:t>
      </w:r>
      <w:r w:rsidR="00D93E46">
        <w:rPr>
          <w:lang w:val="en-GB"/>
        </w:rPr>
        <w:t xml:space="preserve"> has been</w:t>
      </w:r>
      <w:r w:rsidR="0025076F" w:rsidRPr="00D4443C">
        <w:rPr>
          <w:lang w:val="en-GB"/>
        </w:rPr>
        <w:t xml:space="preserve"> commonly used to measure acidity of Lewis acidic ionic liquids,</w:t>
      </w:r>
      <w:r w:rsidR="0025076F" w:rsidRPr="00D4443C">
        <w:rPr>
          <w:lang w:val="en-GB"/>
        </w:rPr>
        <w:fldChar w:fldCharType="begin" w:fldLock="1"/>
      </w:r>
      <w:r w:rsidR="0026470D">
        <w:rPr>
          <w:lang w:val="en-GB"/>
        </w:rPr>
        <w:instrText>ADDIN CSL_CITATION {"citationItems":[{"id":"ITEM-1","itemData":{"DOI":"10.1039/c0dt00895h","ISSN":"14779226","abstract":"The Gutmann Acceptor Number (AN), which is a quantitative measure of Lewis acidity, has been estimated using the 31P NMR chemical shift of a probe molecule, triethylphosphine oxide, for a range of chlorometallate(iii) ionic liquids, based on Group 13 metals (aluminium(iii), gallium(iii) and indium(iii)) and the 1-octyl-3-methylimidazolium cation, at different compositions. The results were interpreted in terms of extant speciation studies of chlorometallate(iii) ionic liquids, and compared with a range of standard molecular solvents and acids. The value of these data were illustrated in terms of the selection of appropriate ionic liquids for specific applications. © 2010 The Royal Society of Chemistry.","author":[{"dropping-particle":"","family":"Estager","given":"Julien","non-dropping-particle":"","parse-names":false,"suffix":""},{"dropping-particle":"","family":"Oliferenko","given":"Alexander A.","non-dropping-particle":"","parse-names":false,"suffix":""},{"dropping-particle":"","family":"Seddon","given":"Kenneth R.","non-dropping-particle":"","parse-names":false,"suffix":""},{"dropping-particle":"","family":"Swadźba-Kwaśny","given":"Małgorzata","non-dropping-particle":"","parse-names":false,"suffix":""}],"container-title":"Dalton Transactions","id":"ITEM-1","issue":"47","issued":{"date-parts":[["2010","12","21"]]},"page":"11375-11382","publisher":"The Royal Society of Chemistry","title":"Chlorometallate(iii) ionic liquids as Lewis acidic catalysts - A quantitative study of acceptor properties","type":"article-journal","volume":"39"},"uris":["http://www.mendeley.com/documents/?uuid=4c2b0733-e413-3a66-afc6-1391358ec04a"]},{"id":"ITEM-2","itemData":{"DOI":"10.1039/c7dt02408h","ISSN":"14779234","PMID":"28766628","abstract":"Coordination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Transactions","id":"ITEM-2","issue":"35","issued":{"date-parts":[["2017"]]},"page":"11561-11574","publisher":"Royal Society of Chemistry","title":"Liquid coordination complexes of Lewis acidic metal chlorides: Lewis acidity and insights into speciation","type":"article-journal","volume":"46"},"uris":["http://www.mendeley.com/documents/?uuid=7f817de9-86ff-485a-b63a-5768687629d9"]},{"id":"ITEM-3","itemData":{"DOI":"10.3389/fchem.2018.00535","ISSN":"22962646","PMID":"30483493","abstract":"The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Chemistry","id":"ITEM-3","issued":{"date-parts":[["2018","11","1"]]},"page":"1-15","publisher":"Front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4,12,45&lt;/sup&gt;","plainTextFormattedCitation":"4,12,45","previouslyFormattedCitation":"&lt;sup&gt;4,12,45&lt;/sup&gt;"},"properties":{"noteIndex":0},"schema":"https://github.com/citation-style-language/schema/raw/master/csl-citation.json"}</w:instrText>
      </w:r>
      <w:r w:rsidR="0025076F" w:rsidRPr="00D4443C">
        <w:rPr>
          <w:lang w:val="en-GB"/>
        </w:rPr>
        <w:fldChar w:fldCharType="separate"/>
      </w:r>
      <w:r w:rsidR="0026470D" w:rsidRPr="0026470D">
        <w:rPr>
          <w:noProof/>
          <w:vertAlign w:val="superscript"/>
          <w:lang w:val="en-GB"/>
        </w:rPr>
        <w:t>4,12,45</w:t>
      </w:r>
      <w:r w:rsidR="0025076F" w:rsidRPr="00D4443C">
        <w:rPr>
          <w:lang w:val="en-GB"/>
        </w:rPr>
        <w:fldChar w:fldCharType="end"/>
      </w:r>
      <w:r w:rsidR="0025076F" w:rsidRPr="00D4443C">
        <w:rPr>
          <w:lang w:val="en-GB"/>
        </w:rPr>
        <w:t xml:space="preserve"> including solvate ionic liquids</w:t>
      </w:r>
      <w:r w:rsidR="009D491F">
        <w:rPr>
          <w:lang w:val="en-GB"/>
        </w:rPr>
        <w:t>,</w:t>
      </w:r>
      <w:r w:rsidR="0025076F" w:rsidRPr="00D4443C">
        <w:rPr>
          <w:lang w:val="en-GB"/>
        </w:rPr>
        <w:fldChar w:fldCharType="begin" w:fldLock="1"/>
      </w:r>
      <w:r w:rsidR="0026470D">
        <w:rPr>
          <w:lang w:val="en-GB"/>
        </w:rPr>
        <w:instrText>ADDIN CSL_CITATION {"citationItems":[{"id":"ITEM-1","itemData":{"DOI":"10.1002/ejoc.201501614","ISSN":"10990690","abstract":"Solvate ionic liquids (SILs) consisting of lithium bis(trifluoromethylsulfonyl)imide dissolved in tri-or tetraglyme have recently emerged as a novel class of ionic liquids. Herein, the first use of solvate ionic liquids as a replacement for molecular solvents in electrocyclization reactions is reported. The SILs promoted both Diels-Alder and [2+2] cycloaddition reactions, compared to an appropriate molecular solvent, and 5 M lithium perchlorate in diethyl ether. The Gutmann acceptor number (AN) of these solvate ionic liquids has also been determined by 31P NMR spectroscopy to be 26.5, thus being modest Lewis acids.","author":[{"dropping-particle":"","family":"Eyckens","given":"Daniel J.","non-dropping-particle":"","parse-names":false,"suffix":""},{"dropping-particle":"","family":"Champion","given":"Megan E.","non-dropping-particle":"","parse-names":false,"suffix":""},{"dropping-particle":"","family":"Fox","given":"Bronwyn L.","non-dropping-particle":"","parse-names":false,"suffix":""},{"dropping-particle":"","family":"Yoganantharajah","given":"Prusothman","non-dropping-particle":"","parse-names":false,"suffix":""},{"dropping-particle":"","family":"Gibert","given":"Yann","non-dropping-particle":"","parse-names":false,"suffix":""},{"dropping-particle":"","family":"Welton","given":"Tom","non-dropping-particle":"","parse-names":false,"suffix":""},{"dropping-particle":"","family":"Henderson","given":"Luke C.","non-dropping-particle":"","parse-names":false,"suffix":""}],"container-title":"European Journal of Organic Chemistry","id":"ITEM-1","issue":"5","issued":{"date-parts":[["2016"]]},"page":"913-917","title":"Solvate Ionic Liquids as Reaction Media for Electrocyclic Transformations","type":"article-journal","volume":"2016"},"uris":["http://www.mendeley.com/documents/?uuid=d650ea72-bbca-3088-9bae-90d672a9db8e"]}],"mendeley":{"formattedCitation":"&lt;sup&gt;26&lt;/sup&gt;","plainTextFormattedCitation":"26","previouslyFormattedCitation":"&lt;sup&gt;26&lt;/sup&gt;"},"properties":{"noteIndex":0},"schema":"https://github.com/citation-style-language/schema/raw/master/csl-citation.json"}</w:instrText>
      </w:r>
      <w:r w:rsidR="0025076F" w:rsidRPr="00D4443C">
        <w:rPr>
          <w:lang w:val="en-GB"/>
        </w:rPr>
        <w:fldChar w:fldCharType="separate"/>
      </w:r>
      <w:r w:rsidR="0026470D" w:rsidRPr="0026470D">
        <w:rPr>
          <w:noProof/>
          <w:vertAlign w:val="superscript"/>
          <w:lang w:val="en-GB"/>
        </w:rPr>
        <w:t>26</w:t>
      </w:r>
      <w:r w:rsidR="0025076F" w:rsidRPr="00D4443C">
        <w:rPr>
          <w:lang w:val="en-GB"/>
        </w:rPr>
        <w:fldChar w:fldCharType="end"/>
      </w:r>
      <w:r w:rsidR="0025076F" w:rsidRPr="00D4443C">
        <w:rPr>
          <w:lang w:val="en-GB"/>
        </w:rPr>
        <w:t xml:space="preserve"> </w:t>
      </w:r>
      <w:r w:rsidR="009D491F">
        <w:rPr>
          <w:lang w:val="en-GB"/>
        </w:rPr>
        <w:t>it has been selected for this study</w:t>
      </w:r>
      <w:r w:rsidR="00B64559" w:rsidRPr="00D4443C">
        <w:rPr>
          <w:lang w:val="en-GB"/>
        </w:rPr>
        <w:t>.</w:t>
      </w:r>
    </w:p>
    <w:p w14:paraId="2F8BBDCD" w14:textId="53E7EAC3" w:rsidR="00786F4F" w:rsidRPr="00905DD7" w:rsidRDefault="0025076F" w:rsidP="00A837DA">
      <w:pPr>
        <w:pStyle w:val="RSCB02ArticleText"/>
        <w:ind w:firstLine="284"/>
        <w:rPr>
          <w:lang w:val="en-GB"/>
        </w:rPr>
      </w:pPr>
      <w:r w:rsidRPr="00905DD7">
        <w:rPr>
          <w:lang w:val="en-GB"/>
        </w:rPr>
        <w:t>Following a standard procedure,</w:t>
      </w:r>
      <w:r w:rsidRPr="00905DD7">
        <w:fldChar w:fldCharType="begin" w:fldLock="1"/>
      </w:r>
      <w:r w:rsidR="0026470D">
        <w:rPr>
          <w:lang w:val="en-GB"/>
        </w:rPr>
        <w:instrText>ADDIN CSL_CITATION {"citationItems":[{"id":"ITEM-1","itemData":{"DOI":"10.1039/c4gc00415a","ISSN":"14639270","abstract":"Aiming at inexpensive Bronsted-acidic ionic liquids, suitable for industrial-scale catalysis, a family of protonic ionic liquids based on nitrogen bases and sulfuric acid has been developed. Variation of the molar ratio of sulfuric acid, ?H2SO4, was used to tune acidity. The liquid structure was studied using 1H NMR and IR spectroscopies, revealing the existence of hydrogen-bonded clusters, [(HSO4)(H2SO4)]?, for ?H2SO4 0.50. Acidity, quantified by Gutmann Acceptor Number (AN), was found to be closely related to the liquid structure. The ionic liquids were employed as acid catalysts in a model reaction; Fischer esterification of acetic acid with 1-butanol. The reaction rate depended on two factors; for ?H2SO4 0.50, the key parameter was acidity (expressed as AN value), while for ?H2SO4 0.50 it was the mass transport (solubility of starting materials in the ionic liquid phase). Building on this insight, the ionic liquid catalyst and reaction conditions have been chosen. Conversion values of over 95% were achieved under exceptionally mild conditions, and using an inexpensive ionic liquid, which could be recycled up to eight times without diminution in conversion or selectivity. It has been demonstrated how structural studies can underpin rational design and development of an ionic liquid catalyst, and in turn lead to a both greener and economically viable process.","author":[{"dropping-particle":"","family":"Matuszek","given":"Karolina","non-dropping-particle":"","parse-names":false,"suffix":""},{"dropping-particle":"","family":"Chrobok","given":"Anna","non-dropping-particle":"","parse-names":false,"suffix":""},{"dropping-particle":"","family":"Coleman","given":"Fergal","non-dropping-particle":"","parse-names":false,"suffix":""},{"dropping-particle":"","family":"Seddon","given":"Kenneth R.","non-dropping-particle":"","parse-names":false,"suffix":""},{"dropping-particle":"","family":"Swadźba-Kwaśny","given":"Małgorzata","non-dropping-particle":"","parse-names":false,"suffix":""}],"container-title":"Green Chemistry","id":"ITEM-1","issue":"7","issued":{"date-parts":[["2014"]]},"page":"3463-3471","title":"Tailoring ionic liquid catalysts: Structure, acidity and catalytic activity of protonic ionic liquids based on anionic clusters, [(HSO4)(H 2SO4)x]- (x = 0, 1, or 2)","type":"article-journal","volume":"16"},"uris":["http://www.mendeley.com/documents/?uuid=003f1e5a-20d5-46f3-b2e9-e561b443adaa"]},{"id":"ITEM-2","itemData":{"DOI":"10.1039/C7CY00106a","ISSN":"2044-4761","abstract":"Ionic liquids based on the tricoordinate borenium cation were used for the first time as Lewis acid catalysts for a model Diels–Alder reaction. The conversion of the dienophile was successfully correlated with the Gutmann acceptor number values of the ionic liquids. Borenium ionic liquids exceeded the performance of catalysts reported in the literature.","author":[{"dropping-particle":"","family":"Matuszek","given":"K.","non-dropping-particle":"","parse-names":false,"suffix":""},{"dropping-particle":"","family":"Coffie","given":"S.","non-dropping-particle":"","parse-names":false,"suffix":""},{"dropping-particle":"","family":"Chrobok","given":"A.","non-dropping-particle":"","parse-names":false,"suffix":""},{"dropping-particle":"","family":"Swadźba-Kwaśny","given":"M.","non-dropping-particle":"","parse-names":false,"suffix":""}],"container-title":"Catalysis Science &amp; Technology","id":"ITEM-2","issue":"5","issued":{"date-parts":[["2017","3","6"]]},"page":"1045-1049","publisher":"The Royal Society of Chemistry","title":"Borenium ionic liquids as catalysts for Diels–Alder reaction: tuneable Lewis superacids for catalytic applications","type":"article-journal","volume":"7"},"uris":["http://www.mendeley.com/documents/?uuid=a00a3d03-7c85-4171-951c-b2c46e800dbc"]},{"id":"ITEM-3","itemData":{"DOI":"10.1039/c7dt02408h","ISSN":"14779234","PMID":"28766628","abstract":"Coordination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Transactions","id":"ITEM-3","issue":"35","issued":{"date-parts":[["2017"]]},"page":"11561-11574","publisher":"Royal Society of Chemistry","title":"Liquid coordination complexes of Lewis acidic metal chlorides: Lewis acidity and insights into speciation","type":"article-journal","volume":"46"},"uris":["http://www.mendeley.com/documents/?uuid=7f817de9-86ff-485a-b63a-5768687629d9"]},{"id":"ITEM-4","itemData":{"DOI":"10.3389/fchem.2018.00535","ISSN":"22962646","PMID":"30483493","abstract":"The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Chemistry","id":"ITEM-4","issued":{"date-parts":[["2018","11","1"]]},"page":"1-15","publisher":"Front Chem","title":"Water-tolerant trifloaluminate ionic liquids: New and unique Lewis acidic catalysts for the synthesis of chromane","type":"article-journal","volume":"6"},"uris":["http://www.mendeley.com/documents/?uuid=f2c711ad-0564-32c8-a27d-1bf813b0a685"]},{"id":"ITEM-5","itemData":{"DOI":"10.1039/d1gc00515d","ISSN":"14639270","abstract":"Dicationic and tricationic ionic liquids, synthesised by proton transfer from sulfuric acid and corresponding di- and triamines, were characterised and used as Brønsted acidic catalysts in biodiesel production. It has been demonstrated that the new ionic liquids are less expensive than those based on monoamines (even on triethylamine) and are highly acidic. Their performance in a model catalytic esterification reaction surpassed that of sulfuric acid and other literature reports, due to the capability of the ionic liquids to absorb water while phase-separating the ester, thereby shifting the reaction equilibrium towards products. The overall catalytic performance was an interplay between acidity (quantified by Gutmann AN) and physical properties: density and viscosity, which enabled easy phase separation, thereby separating water from the ester. The substrate scope and recycling studies have demonstrated that the new ionic liquids are robust and recyclable catalysts.","author":[{"dropping-particle":"","family":"Brzęczek-Szafran","given":"Alina","non-dropping-particle":"","parse-names":false,"suffix":""},{"dropping-particle":"","family":"Więcławik","given":"Justyna","non-dropping-particle":"","parse-names":false,"suffix":""},{"dropping-particle":"","family":"Barteczko","given":"Natalia","non-dropping-particle":"","parse-names":false,"suffix":""},{"dropping-particle":"","family":"Szelwicka","given":"Anna","non-dropping-particle":"","parse-names":false,"suffix":""},{"dropping-particle":"","family":"Byrne","given":"Emily","non-dropping-particle":"","parse-names":false,"suffix":""},{"dropping-particle":"","family":"Kolanowska","given":"Anna","non-dropping-particle":"","parse-names":false,"suffix":""},{"dropping-particle":"","family":"Swadźba Kwaśny","given":"Małgorzata","non-dropping-particle":"","parse-names":false,"suffix":""},{"dropping-particle":"","family":"Chrobok","given":"Anna","non-dropping-particle":"","parse-names":false,"suffix":""}],"container-title":"Green Chemistry","id":"ITEM-5","issue":"12","issued":{"date-parts":[["2021"]]},"page":"4421-4429","publisher":"The Royal Society of Chemistry","title":"Protic ionic liquids from di- or triamines: even cheaper Brønsted acidic catalysts","type":"article-journal","volume":"23"},"uris":["http://www.mendeley.com/documents/?uuid=d03622d8-3279-4958-bf0d-30d11006d2b3"]}],"mendeley":{"formattedCitation":"&lt;sup&gt;4,12,33,34,46&lt;/sup&gt;","plainTextFormattedCitation":"4,12,33,34,46","previouslyFormattedCitation":"&lt;sup&gt;4,12,33,34,46&lt;/sup&gt;"},"properties":{"noteIndex":0},"schema":"https://github.com/citation-style-language/schema/raw/master/csl-citation.json"}</w:instrText>
      </w:r>
      <w:r w:rsidRPr="00905DD7">
        <w:fldChar w:fldCharType="separate"/>
      </w:r>
      <w:r w:rsidR="0026470D" w:rsidRPr="0026470D">
        <w:rPr>
          <w:noProof/>
          <w:vertAlign w:val="superscript"/>
          <w:lang w:val="en-GB"/>
        </w:rPr>
        <w:t>4,12,33,34,46</w:t>
      </w:r>
      <w:r w:rsidRPr="00905DD7">
        <w:fldChar w:fldCharType="end"/>
      </w:r>
      <w:r w:rsidRPr="00905DD7">
        <w:rPr>
          <w:lang w:val="en-GB"/>
        </w:rPr>
        <w:t xml:space="preserve"> AN values were determined from  </w:t>
      </w:r>
      <w:r w:rsidRPr="00E07B9B">
        <w:rPr>
          <w:vertAlign w:val="superscript"/>
          <w:lang w:val="en-GB"/>
        </w:rPr>
        <w:t>31</w:t>
      </w:r>
      <w:r w:rsidRPr="00905DD7">
        <w:rPr>
          <w:lang w:val="en-GB"/>
        </w:rPr>
        <w:t xml:space="preserve">P NMR chemical shifts of an NMR probe, </w:t>
      </w:r>
      <w:r w:rsidR="009D491F">
        <w:rPr>
          <w:lang w:val="en-GB"/>
        </w:rPr>
        <w:t xml:space="preserve">a </w:t>
      </w:r>
      <w:r w:rsidRPr="00905DD7">
        <w:rPr>
          <w:lang w:val="en-GB"/>
        </w:rPr>
        <w:t xml:space="preserve">weakly basic hard nucleophile, </w:t>
      </w:r>
      <w:proofErr w:type="spellStart"/>
      <w:r w:rsidRPr="00905DD7">
        <w:rPr>
          <w:lang w:val="en-GB"/>
        </w:rPr>
        <w:t>triethylphosphine</w:t>
      </w:r>
      <w:proofErr w:type="spellEnd"/>
      <w:r w:rsidRPr="00905DD7">
        <w:rPr>
          <w:lang w:val="en-GB"/>
        </w:rPr>
        <w:t xml:space="preserve"> oxide (TEPO)</w:t>
      </w:r>
      <w:r w:rsidR="009D491F">
        <w:rPr>
          <w:lang w:val="en-GB"/>
        </w:rPr>
        <w:t>. The probe has been</w:t>
      </w:r>
      <w:r w:rsidRPr="00905DD7">
        <w:rPr>
          <w:lang w:val="en-GB"/>
        </w:rPr>
        <w:t xml:space="preserve"> dissolved in the G3:M(</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ionic liquids, across available compositional range, </w:t>
      </w:r>
      <w:r w:rsidR="00B75DB3" w:rsidRPr="00905DD7">
        <w:rPr>
          <w:rFonts w:ascii="Symbol" w:hAnsi="Symbol"/>
          <w:i/>
          <w:iCs/>
          <w:lang w:val="en-GB"/>
        </w:rPr>
        <w:t>c</w:t>
      </w:r>
      <w:r w:rsidRPr="00905DD7">
        <w:rPr>
          <w:vertAlign w:val="subscript"/>
          <w:lang w:val="en-GB"/>
        </w:rPr>
        <w:t>M(</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0.09 - 0.33.  </w:t>
      </w:r>
    </w:p>
    <w:tbl>
      <w:tblPr>
        <w:tblpPr w:leftFromText="180" w:rightFromText="180" w:vertAnchor="text" w:horzAnchor="margin" w:tblpXSpec="right" w:tblpY="1125"/>
        <w:tblW w:w="5057" w:type="dxa"/>
        <w:tblLook w:val="01E0" w:firstRow="1" w:lastRow="1" w:firstColumn="1" w:lastColumn="1" w:noHBand="0" w:noVBand="0"/>
      </w:tblPr>
      <w:tblGrid>
        <w:gridCol w:w="611"/>
        <w:gridCol w:w="657"/>
        <w:gridCol w:w="972"/>
        <w:gridCol w:w="1982"/>
        <w:gridCol w:w="835"/>
      </w:tblGrid>
      <w:tr w:rsidR="0087162A" w:rsidRPr="00905DD7" w14:paraId="25CF3C9B" w14:textId="77777777" w:rsidTr="00EA76DD">
        <w:trPr>
          <w:trHeight w:val="283"/>
        </w:trPr>
        <w:tc>
          <w:tcPr>
            <w:tcW w:w="611" w:type="dxa"/>
            <w:tcBorders>
              <w:bottom w:val="single" w:sz="4" w:space="0" w:color="auto"/>
            </w:tcBorders>
            <w:vAlign w:val="center"/>
          </w:tcPr>
          <w:p w14:paraId="78B5E071" w14:textId="77777777" w:rsidR="0087162A" w:rsidRPr="00905DD7" w:rsidRDefault="0087162A" w:rsidP="00A837DA">
            <w:pPr>
              <w:pStyle w:val="RSCT03TableBody"/>
              <w:rPr>
                <w:b/>
                <w:bCs/>
              </w:rPr>
            </w:pPr>
            <w:r w:rsidRPr="00905DD7">
              <w:rPr>
                <w:b/>
                <w:bCs/>
              </w:rPr>
              <w:t>Metal</w:t>
            </w:r>
          </w:p>
        </w:tc>
        <w:tc>
          <w:tcPr>
            <w:tcW w:w="657" w:type="dxa"/>
            <w:tcBorders>
              <w:bottom w:val="single" w:sz="4" w:space="0" w:color="auto"/>
            </w:tcBorders>
            <w:vAlign w:val="center"/>
          </w:tcPr>
          <w:p w14:paraId="747042D0" w14:textId="77777777" w:rsidR="0087162A" w:rsidRPr="00905DD7" w:rsidRDefault="0087162A" w:rsidP="00A837DA">
            <w:pPr>
              <w:pStyle w:val="RSCT03TableBody"/>
              <w:rPr>
                <w:b/>
                <w:bCs/>
              </w:rPr>
            </w:pPr>
            <w:r w:rsidRPr="00905DD7">
              <w:rPr>
                <w:rFonts w:ascii="Symbol" w:hAnsi="Symbol"/>
                <w:b/>
                <w:bCs/>
                <w:i/>
                <w:iCs/>
              </w:rPr>
              <w:t></w:t>
            </w:r>
            <w:r w:rsidRPr="00905DD7">
              <w:rPr>
                <w:b/>
                <w:bCs/>
                <w:vertAlign w:val="subscript"/>
              </w:rPr>
              <w:t>M(</w:t>
            </w:r>
            <w:proofErr w:type="spellStart"/>
            <w:r w:rsidRPr="00905DD7">
              <w:rPr>
                <w:b/>
                <w:bCs/>
                <w:vertAlign w:val="subscript"/>
              </w:rPr>
              <w:t>OTf</w:t>
            </w:r>
            <w:proofErr w:type="spellEnd"/>
            <w:r w:rsidRPr="00905DD7">
              <w:rPr>
                <w:b/>
                <w:bCs/>
                <w:vertAlign w:val="subscript"/>
              </w:rPr>
              <w:t>)3</w:t>
            </w:r>
          </w:p>
        </w:tc>
        <w:tc>
          <w:tcPr>
            <w:tcW w:w="972" w:type="dxa"/>
            <w:tcBorders>
              <w:bottom w:val="single" w:sz="4" w:space="0" w:color="auto"/>
            </w:tcBorders>
            <w:vAlign w:val="center"/>
          </w:tcPr>
          <w:p w14:paraId="11C017D5" w14:textId="77777777" w:rsidR="0087162A" w:rsidRPr="00905DD7" w:rsidRDefault="0087162A" w:rsidP="00A837DA">
            <w:pPr>
              <w:pStyle w:val="RSCT03TableBody"/>
              <w:rPr>
                <w:b/>
                <w:bCs/>
              </w:rPr>
            </w:pPr>
            <w:r w:rsidRPr="00905DD7">
              <w:rPr>
                <w:b/>
                <w:bCs/>
              </w:rPr>
              <w:t>G3:M(</w:t>
            </w:r>
            <w:proofErr w:type="spellStart"/>
            <w:r w:rsidRPr="00905DD7">
              <w:rPr>
                <w:b/>
                <w:bCs/>
              </w:rPr>
              <w:t>OTf</w:t>
            </w:r>
            <w:proofErr w:type="spellEnd"/>
            <w:r w:rsidRPr="00905DD7">
              <w:rPr>
                <w:b/>
                <w:bCs/>
              </w:rPr>
              <w:t>)</w:t>
            </w:r>
            <w:r w:rsidRPr="00905DD7">
              <w:rPr>
                <w:b/>
                <w:bCs/>
                <w:vertAlign w:val="subscript"/>
              </w:rPr>
              <w:t>3</w:t>
            </w:r>
            <w:r w:rsidRPr="00905DD7">
              <w:rPr>
                <w:b/>
                <w:bCs/>
              </w:rPr>
              <w:t xml:space="preserve"> </w:t>
            </w:r>
            <w:r w:rsidRPr="00905DD7">
              <w:rPr>
                <w:b/>
                <w:bCs/>
              </w:rPr>
              <w:br/>
              <w:t>molar ratio</w:t>
            </w:r>
          </w:p>
        </w:tc>
        <w:tc>
          <w:tcPr>
            <w:tcW w:w="1982" w:type="dxa"/>
            <w:tcBorders>
              <w:bottom w:val="single" w:sz="4" w:space="0" w:color="auto"/>
            </w:tcBorders>
            <w:vAlign w:val="center"/>
          </w:tcPr>
          <w:p w14:paraId="115EFA02" w14:textId="77777777" w:rsidR="0087162A" w:rsidRPr="00905DD7" w:rsidRDefault="0087162A" w:rsidP="00A837DA">
            <w:pPr>
              <w:pStyle w:val="RSCT03TableBody"/>
              <w:rPr>
                <w:b/>
                <w:bCs/>
              </w:rPr>
            </w:pPr>
            <w:r w:rsidRPr="00905DD7">
              <w:rPr>
                <w:b/>
                <w:bCs/>
              </w:rPr>
              <w:t>Physical state</w:t>
            </w:r>
          </w:p>
        </w:tc>
        <w:tc>
          <w:tcPr>
            <w:tcW w:w="835" w:type="dxa"/>
            <w:tcBorders>
              <w:bottom w:val="single" w:sz="4" w:space="0" w:color="auto"/>
            </w:tcBorders>
            <w:vAlign w:val="center"/>
          </w:tcPr>
          <w:p w14:paraId="03A9D7FA" w14:textId="77777777" w:rsidR="0087162A" w:rsidRPr="00905DD7" w:rsidRDefault="0087162A" w:rsidP="00A837DA">
            <w:pPr>
              <w:pStyle w:val="RSCT03TableBody"/>
              <w:rPr>
                <w:b/>
                <w:bCs/>
              </w:rPr>
            </w:pPr>
            <w:r w:rsidRPr="00905DD7">
              <w:rPr>
                <w:b/>
                <w:bCs/>
              </w:rPr>
              <w:t>AN</w:t>
            </w:r>
          </w:p>
        </w:tc>
      </w:tr>
      <w:tr w:rsidR="0087162A" w:rsidRPr="00905DD7" w14:paraId="10737AC1" w14:textId="77777777" w:rsidTr="00EA76DD">
        <w:trPr>
          <w:trHeight w:val="312"/>
        </w:trPr>
        <w:tc>
          <w:tcPr>
            <w:tcW w:w="611" w:type="dxa"/>
            <w:vMerge w:val="restart"/>
            <w:tcBorders>
              <w:top w:val="single" w:sz="4" w:space="0" w:color="auto"/>
            </w:tcBorders>
            <w:vAlign w:val="center"/>
          </w:tcPr>
          <w:p w14:paraId="1A54D549" w14:textId="77777777" w:rsidR="0087162A" w:rsidRPr="00905DD7" w:rsidRDefault="0087162A" w:rsidP="0087162A">
            <w:pPr>
              <w:pStyle w:val="RSCT03TableBody"/>
              <w:spacing w:line="240" w:lineRule="auto"/>
            </w:pPr>
            <w:r w:rsidRPr="00905DD7">
              <w:t>Al</w:t>
            </w:r>
          </w:p>
        </w:tc>
        <w:tc>
          <w:tcPr>
            <w:tcW w:w="657" w:type="dxa"/>
            <w:tcBorders>
              <w:top w:val="single" w:sz="4" w:space="0" w:color="auto"/>
            </w:tcBorders>
            <w:vAlign w:val="center"/>
          </w:tcPr>
          <w:p w14:paraId="4387163B" w14:textId="77777777" w:rsidR="0087162A" w:rsidRPr="00905DD7" w:rsidRDefault="0087162A" w:rsidP="0087162A">
            <w:pPr>
              <w:pStyle w:val="RSCT03TableBody"/>
              <w:spacing w:line="240" w:lineRule="auto"/>
            </w:pPr>
            <w:r w:rsidRPr="00905DD7">
              <w:t>0.33</w:t>
            </w:r>
          </w:p>
        </w:tc>
        <w:tc>
          <w:tcPr>
            <w:tcW w:w="972" w:type="dxa"/>
            <w:tcBorders>
              <w:top w:val="single" w:sz="4" w:space="0" w:color="auto"/>
            </w:tcBorders>
            <w:vAlign w:val="center"/>
          </w:tcPr>
          <w:p w14:paraId="306C9E91" w14:textId="77777777" w:rsidR="0087162A" w:rsidRPr="00905DD7" w:rsidRDefault="0087162A" w:rsidP="0087162A">
            <w:pPr>
              <w:pStyle w:val="RSCT03TableBody"/>
              <w:spacing w:line="240" w:lineRule="auto"/>
            </w:pPr>
            <w:r w:rsidRPr="00905DD7">
              <w:t>2:1</w:t>
            </w:r>
          </w:p>
        </w:tc>
        <w:tc>
          <w:tcPr>
            <w:tcW w:w="1982" w:type="dxa"/>
            <w:tcBorders>
              <w:top w:val="single" w:sz="4" w:space="0" w:color="auto"/>
            </w:tcBorders>
            <w:vAlign w:val="center"/>
          </w:tcPr>
          <w:p w14:paraId="520BDEF1" w14:textId="77777777" w:rsidR="0087162A" w:rsidRPr="00905DD7" w:rsidRDefault="0087162A" w:rsidP="0087162A">
            <w:pPr>
              <w:pStyle w:val="RSCT03TableBody"/>
              <w:spacing w:line="240" w:lineRule="auto"/>
            </w:pPr>
            <w:r w:rsidRPr="00905DD7">
              <w:t>Very viscous, yellow liquid</w:t>
            </w:r>
          </w:p>
        </w:tc>
        <w:tc>
          <w:tcPr>
            <w:tcW w:w="835" w:type="dxa"/>
            <w:tcBorders>
              <w:top w:val="single" w:sz="4" w:space="0" w:color="auto"/>
            </w:tcBorders>
            <w:vAlign w:val="center"/>
          </w:tcPr>
          <w:p w14:paraId="2C749B38" w14:textId="77777777" w:rsidR="0087162A" w:rsidRPr="00905DD7" w:rsidRDefault="0087162A" w:rsidP="0087162A">
            <w:pPr>
              <w:pStyle w:val="RSCT03TableBody"/>
              <w:spacing w:line="240" w:lineRule="auto"/>
            </w:pPr>
            <w:r w:rsidRPr="00905DD7">
              <w:t>70.9-82.7</w:t>
            </w:r>
          </w:p>
        </w:tc>
      </w:tr>
      <w:tr w:rsidR="0087162A" w:rsidRPr="00905DD7" w14:paraId="314C5BD7" w14:textId="77777777" w:rsidTr="00EA76DD">
        <w:trPr>
          <w:trHeight w:val="312"/>
        </w:trPr>
        <w:tc>
          <w:tcPr>
            <w:tcW w:w="611" w:type="dxa"/>
            <w:vMerge/>
            <w:vAlign w:val="center"/>
          </w:tcPr>
          <w:p w14:paraId="3938F590" w14:textId="77777777" w:rsidR="0087162A" w:rsidRPr="00905DD7" w:rsidRDefault="0087162A" w:rsidP="0087162A">
            <w:pPr>
              <w:pStyle w:val="RSCT03TableBody"/>
              <w:spacing w:line="240" w:lineRule="auto"/>
            </w:pPr>
          </w:p>
        </w:tc>
        <w:tc>
          <w:tcPr>
            <w:tcW w:w="657" w:type="dxa"/>
            <w:vAlign w:val="center"/>
          </w:tcPr>
          <w:p w14:paraId="593158AC" w14:textId="77777777" w:rsidR="0087162A" w:rsidRPr="00905DD7" w:rsidRDefault="0087162A" w:rsidP="0087162A">
            <w:pPr>
              <w:pStyle w:val="RSCT03TableBody"/>
              <w:spacing w:line="240" w:lineRule="auto"/>
            </w:pPr>
            <w:r w:rsidRPr="00905DD7">
              <w:t>0.25</w:t>
            </w:r>
          </w:p>
        </w:tc>
        <w:tc>
          <w:tcPr>
            <w:tcW w:w="972" w:type="dxa"/>
            <w:vAlign w:val="center"/>
          </w:tcPr>
          <w:p w14:paraId="5523A3A3" w14:textId="77777777" w:rsidR="0087162A" w:rsidRPr="00905DD7" w:rsidRDefault="0087162A" w:rsidP="0087162A">
            <w:pPr>
              <w:pStyle w:val="RSCT03TableBody"/>
              <w:spacing w:line="240" w:lineRule="auto"/>
            </w:pPr>
            <w:r w:rsidRPr="00905DD7">
              <w:t>3:1</w:t>
            </w:r>
          </w:p>
        </w:tc>
        <w:tc>
          <w:tcPr>
            <w:tcW w:w="1982" w:type="dxa"/>
            <w:vAlign w:val="center"/>
          </w:tcPr>
          <w:p w14:paraId="5349864C" w14:textId="77777777" w:rsidR="0087162A" w:rsidRPr="00905DD7" w:rsidRDefault="0087162A" w:rsidP="0087162A">
            <w:pPr>
              <w:pStyle w:val="RSCT03TableBody"/>
              <w:spacing w:line="240" w:lineRule="auto"/>
            </w:pPr>
            <w:r w:rsidRPr="00905DD7">
              <w:t>Viscous, light yellow liquid</w:t>
            </w:r>
          </w:p>
        </w:tc>
        <w:tc>
          <w:tcPr>
            <w:tcW w:w="835" w:type="dxa"/>
            <w:vAlign w:val="center"/>
          </w:tcPr>
          <w:p w14:paraId="46B1E288" w14:textId="77777777" w:rsidR="0087162A" w:rsidRPr="00905DD7" w:rsidRDefault="0087162A" w:rsidP="0087162A">
            <w:pPr>
              <w:pStyle w:val="RSCT03TableBody"/>
              <w:spacing w:line="240" w:lineRule="auto"/>
            </w:pPr>
            <w:r w:rsidRPr="00905DD7">
              <w:t>70.8-82.7</w:t>
            </w:r>
          </w:p>
        </w:tc>
      </w:tr>
      <w:tr w:rsidR="0087162A" w:rsidRPr="00905DD7" w14:paraId="4E6798FD" w14:textId="77777777" w:rsidTr="00EA76DD">
        <w:trPr>
          <w:trHeight w:val="312"/>
        </w:trPr>
        <w:tc>
          <w:tcPr>
            <w:tcW w:w="611" w:type="dxa"/>
            <w:vMerge/>
            <w:vAlign w:val="center"/>
          </w:tcPr>
          <w:p w14:paraId="596C182D" w14:textId="77777777" w:rsidR="0087162A" w:rsidRPr="00905DD7" w:rsidRDefault="0087162A" w:rsidP="0087162A">
            <w:pPr>
              <w:pStyle w:val="RSCT03TableBody"/>
              <w:spacing w:line="240" w:lineRule="auto"/>
            </w:pPr>
          </w:p>
        </w:tc>
        <w:tc>
          <w:tcPr>
            <w:tcW w:w="657" w:type="dxa"/>
            <w:vAlign w:val="center"/>
          </w:tcPr>
          <w:p w14:paraId="22E864B8" w14:textId="77777777" w:rsidR="0087162A" w:rsidRPr="00905DD7" w:rsidRDefault="0087162A" w:rsidP="0087162A">
            <w:pPr>
              <w:pStyle w:val="RSCT03TableBody"/>
              <w:spacing w:line="240" w:lineRule="auto"/>
            </w:pPr>
            <w:r w:rsidRPr="00905DD7">
              <w:t>0.20</w:t>
            </w:r>
          </w:p>
        </w:tc>
        <w:tc>
          <w:tcPr>
            <w:tcW w:w="972" w:type="dxa"/>
            <w:vAlign w:val="center"/>
          </w:tcPr>
          <w:p w14:paraId="486CAFAD" w14:textId="77777777" w:rsidR="0087162A" w:rsidRPr="00905DD7" w:rsidRDefault="0087162A" w:rsidP="0087162A">
            <w:pPr>
              <w:pStyle w:val="RSCT03TableBody"/>
              <w:spacing w:line="240" w:lineRule="auto"/>
            </w:pPr>
            <w:r w:rsidRPr="00905DD7">
              <w:t>4:1</w:t>
            </w:r>
          </w:p>
        </w:tc>
        <w:tc>
          <w:tcPr>
            <w:tcW w:w="1982" w:type="dxa"/>
            <w:vAlign w:val="center"/>
          </w:tcPr>
          <w:p w14:paraId="0C9C489B" w14:textId="77777777" w:rsidR="0087162A" w:rsidRPr="00905DD7" w:rsidRDefault="0087162A" w:rsidP="0087162A">
            <w:pPr>
              <w:pStyle w:val="RSCT03TableBody"/>
              <w:spacing w:line="240" w:lineRule="auto"/>
            </w:pPr>
            <w:r w:rsidRPr="00905DD7">
              <w:t>Pale yellow liquid</w:t>
            </w:r>
          </w:p>
        </w:tc>
        <w:tc>
          <w:tcPr>
            <w:tcW w:w="835" w:type="dxa"/>
            <w:vAlign w:val="center"/>
          </w:tcPr>
          <w:p w14:paraId="629A2418" w14:textId="77777777" w:rsidR="0087162A" w:rsidRPr="00905DD7" w:rsidRDefault="0087162A" w:rsidP="0087162A">
            <w:pPr>
              <w:pStyle w:val="RSCT03TableBody"/>
              <w:spacing w:line="240" w:lineRule="auto"/>
            </w:pPr>
            <w:r w:rsidRPr="00905DD7">
              <w:t>70.7-82.7</w:t>
            </w:r>
          </w:p>
        </w:tc>
      </w:tr>
      <w:tr w:rsidR="0087162A" w:rsidRPr="00905DD7" w14:paraId="0511BC4E" w14:textId="77777777" w:rsidTr="00EA76DD">
        <w:trPr>
          <w:trHeight w:val="312"/>
        </w:trPr>
        <w:tc>
          <w:tcPr>
            <w:tcW w:w="611" w:type="dxa"/>
            <w:vMerge/>
            <w:vAlign w:val="center"/>
          </w:tcPr>
          <w:p w14:paraId="77650DCE" w14:textId="77777777" w:rsidR="0087162A" w:rsidRPr="00905DD7" w:rsidRDefault="0087162A" w:rsidP="0087162A">
            <w:pPr>
              <w:pStyle w:val="RSCT03TableBody"/>
              <w:spacing w:line="240" w:lineRule="auto"/>
            </w:pPr>
          </w:p>
        </w:tc>
        <w:tc>
          <w:tcPr>
            <w:tcW w:w="657" w:type="dxa"/>
            <w:vAlign w:val="center"/>
          </w:tcPr>
          <w:p w14:paraId="7ACF8740" w14:textId="77777777" w:rsidR="0087162A" w:rsidRPr="00905DD7" w:rsidRDefault="0087162A" w:rsidP="0087162A">
            <w:pPr>
              <w:pStyle w:val="RSCT03TableBody"/>
              <w:spacing w:line="240" w:lineRule="auto"/>
            </w:pPr>
            <w:r w:rsidRPr="00905DD7">
              <w:t>0.17</w:t>
            </w:r>
          </w:p>
        </w:tc>
        <w:tc>
          <w:tcPr>
            <w:tcW w:w="972" w:type="dxa"/>
            <w:vAlign w:val="center"/>
          </w:tcPr>
          <w:p w14:paraId="0684A65A" w14:textId="77777777" w:rsidR="0087162A" w:rsidRPr="00905DD7" w:rsidRDefault="0087162A" w:rsidP="0087162A">
            <w:pPr>
              <w:pStyle w:val="RSCT03TableBody"/>
              <w:spacing w:line="240" w:lineRule="auto"/>
            </w:pPr>
            <w:r w:rsidRPr="00905DD7">
              <w:t>5:1</w:t>
            </w:r>
          </w:p>
        </w:tc>
        <w:tc>
          <w:tcPr>
            <w:tcW w:w="1982" w:type="dxa"/>
            <w:vAlign w:val="center"/>
          </w:tcPr>
          <w:p w14:paraId="29EE872A" w14:textId="77777777" w:rsidR="0087162A" w:rsidRPr="00905DD7" w:rsidRDefault="0087162A" w:rsidP="0087162A">
            <w:pPr>
              <w:pStyle w:val="RSCT03TableBody"/>
              <w:spacing w:line="240" w:lineRule="auto"/>
            </w:pPr>
            <w:r w:rsidRPr="00905DD7">
              <w:t>Pale yellow liquid</w:t>
            </w:r>
          </w:p>
        </w:tc>
        <w:tc>
          <w:tcPr>
            <w:tcW w:w="835" w:type="dxa"/>
            <w:vAlign w:val="center"/>
          </w:tcPr>
          <w:p w14:paraId="3EC42023" w14:textId="77777777" w:rsidR="0087162A" w:rsidRPr="00905DD7" w:rsidRDefault="0087162A" w:rsidP="0087162A">
            <w:pPr>
              <w:pStyle w:val="RSCT03TableBody"/>
              <w:spacing w:line="240" w:lineRule="auto"/>
            </w:pPr>
            <w:r w:rsidRPr="00905DD7">
              <w:t>70.7-82.6</w:t>
            </w:r>
          </w:p>
        </w:tc>
      </w:tr>
      <w:tr w:rsidR="0087162A" w:rsidRPr="00905DD7" w14:paraId="2454F5D6" w14:textId="77777777" w:rsidTr="00EA76DD">
        <w:trPr>
          <w:trHeight w:val="312"/>
        </w:trPr>
        <w:tc>
          <w:tcPr>
            <w:tcW w:w="611" w:type="dxa"/>
            <w:vMerge/>
            <w:vAlign w:val="center"/>
          </w:tcPr>
          <w:p w14:paraId="1471AACB" w14:textId="77777777" w:rsidR="0087162A" w:rsidRPr="00905DD7" w:rsidRDefault="0087162A" w:rsidP="0087162A">
            <w:pPr>
              <w:pStyle w:val="RSCT03TableBody"/>
              <w:spacing w:line="240" w:lineRule="auto"/>
            </w:pPr>
          </w:p>
        </w:tc>
        <w:tc>
          <w:tcPr>
            <w:tcW w:w="657" w:type="dxa"/>
            <w:vAlign w:val="center"/>
          </w:tcPr>
          <w:p w14:paraId="67B1F8E6" w14:textId="77777777" w:rsidR="0087162A" w:rsidRPr="00905DD7" w:rsidRDefault="0087162A" w:rsidP="0087162A">
            <w:pPr>
              <w:pStyle w:val="RSCT03TableBody"/>
              <w:spacing w:line="240" w:lineRule="auto"/>
            </w:pPr>
            <w:r w:rsidRPr="00905DD7">
              <w:t>0.14</w:t>
            </w:r>
          </w:p>
        </w:tc>
        <w:tc>
          <w:tcPr>
            <w:tcW w:w="972" w:type="dxa"/>
            <w:vAlign w:val="center"/>
          </w:tcPr>
          <w:p w14:paraId="31A67083" w14:textId="77777777" w:rsidR="0087162A" w:rsidRPr="00905DD7" w:rsidRDefault="0087162A" w:rsidP="0087162A">
            <w:pPr>
              <w:pStyle w:val="RSCT03TableBody"/>
              <w:spacing w:line="240" w:lineRule="auto"/>
            </w:pPr>
            <w:r w:rsidRPr="00905DD7">
              <w:t>6:1</w:t>
            </w:r>
          </w:p>
        </w:tc>
        <w:tc>
          <w:tcPr>
            <w:tcW w:w="1982" w:type="dxa"/>
            <w:vAlign w:val="center"/>
          </w:tcPr>
          <w:p w14:paraId="59372D13" w14:textId="77777777" w:rsidR="0087162A" w:rsidRPr="00905DD7" w:rsidRDefault="0087162A" w:rsidP="0087162A">
            <w:pPr>
              <w:pStyle w:val="RSCT03TableBody"/>
              <w:spacing w:line="240" w:lineRule="auto"/>
            </w:pPr>
            <w:r w:rsidRPr="00905DD7">
              <w:t>Pale yellow liquid</w:t>
            </w:r>
          </w:p>
        </w:tc>
        <w:tc>
          <w:tcPr>
            <w:tcW w:w="835" w:type="dxa"/>
            <w:vAlign w:val="center"/>
          </w:tcPr>
          <w:p w14:paraId="34C929CA" w14:textId="77777777" w:rsidR="0087162A" w:rsidRPr="00905DD7" w:rsidRDefault="0087162A" w:rsidP="0087162A">
            <w:pPr>
              <w:pStyle w:val="RSCT03TableBody"/>
              <w:spacing w:line="240" w:lineRule="auto"/>
            </w:pPr>
            <w:r w:rsidRPr="00905DD7">
              <w:t>71.0-82.6</w:t>
            </w:r>
          </w:p>
        </w:tc>
      </w:tr>
      <w:tr w:rsidR="0087162A" w:rsidRPr="00905DD7" w14:paraId="199BA429" w14:textId="77777777" w:rsidTr="00EA76DD">
        <w:trPr>
          <w:trHeight w:val="312"/>
        </w:trPr>
        <w:tc>
          <w:tcPr>
            <w:tcW w:w="611" w:type="dxa"/>
            <w:vMerge/>
            <w:vAlign w:val="center"/>
          </w:tcPr>
          <w:p w14:paraId="6A67E935" w14:textId="77777777" w:rsidR="0087162A" w:rsidRPr="00905DD7" w:rsidRDefault="0087162A" w:rsidP="0087162A">
            <w:pPr>
              <w:pStyle w:val="RSCT03TableBody"/>
              <w:spacing w:line="240" w:lineRule="auto"/>
            </w:pPr>
          </w:p>
        </w:tc>
        <w:tc>
          <w:tcPr>
            <w:tcW w:w="657" w:type="dxa"/>
            <w:vAlign w:val="center"/>
          </w:tcPr>
          <w:p w14:paraId="2F6A879F" w14:textId="77777777" w:rsidR="0087162A" w:rsidRPr="00905DD7" w:rsidRDefault="0087162A" w:rsidP="0087162A">
            <w:pPr>
              <w:pStyle w:val="RSCT03TableBody"/>
              <w:spacing w:line="240" w:lineRule="auto"/>
            </w:pPr>
            <w:r w:rsidRPr="00905DD7">
              <w:t>0.13</w:t>
            </w:r>
          </w:p>
        </w:tc>
        <w:tc>
          <w:tcPr>
            <w:tcW w:w="972" w:type="dxa"/>
            <w:vAlign w:val="center"/>
          </w:tcPr>
          <w:p w14:paraId="24E1B1C9" w14:textId="77777777" w:rsidR="0087162A" w:rsidRPr="00905DD7" w:rsidRDefault="0087162A" w:rsidP="0087162A">
            <w:pPr>
              <w:pStyle w:val="RSCT03TableBody"/>
              <w:spacing w:line="240" w:lineRule="auto"/>
            </w:pPr>
            <w:r w:rsidRPr="00905DD7">
              <w:t>7:1</w:t>
            </w:r>
          </w:p>
        </w:tc>
        <w:tc>
          <w:tcPr>
            <w:tcW w:w="1982" w:type="dxa"/>
            <w:vAlign w:val="center"/>
          </w:tcPr>
          <w:p w14:paraId="016E2964" w14:textId="77777777" w:rsidR="0087162A" w:rsidRPr="00905DD7" w:rsidRDefault="0087162A" w:rsidP="0087162A">
            <w:pPr>
              <w:pStyle w:val="RSCT03TableBody"/>
              <w:spacing w:line="240" w:lineRule="auto"/>
            </w:pPr>
            <w:r w:rsidRPr="00905DD7">
              <w:t>Yellow hue liquid</w:t>
            </w:r>
          </w:p>
        </w:tc>
        <w:tc>
          <w:tcPr>
            <w:tcW w:w="835" w:type="dxa"/>
            <w:vAlign w:val="center"/>
          </w:tcPr>
          <w:p w14:paraId="7A368BBC" w14:textId="77777777" w:rsidR="0087162A" w:rsidRPr="00905DD7" w:rsidRDefault="0087162A" w:rsidP="0087162A">
            <w:pPr>
              <w:pStyle w:val="RSCT03TableBody"/>
              <w:spacing w:line="240" w:lineRule="auto"/>
            </w:pPr>
            <w:r w:rsidRPr="00905DD7">
              <w:t>71.4-82.6</w:t>
            </w:r>
          </w:p>
        </w:tc>
      </w:tr>
      <w:tr w:rsidR="0087162A" w:rsidRPr="00905DD7" w14:paraId="3748B78B" w14:textId="77777777" w:rsidTr="00EA76DD">
        <w:trPr>
          <w:trHeight w:val="312"/>
        </w:trPr>
        <w:tc>
          <w:tcPr>
            <w:tcW w:w="611" w:type="dxa"/>
            <w:vMerge/>
            <w:vAlign w:val="center"/>
          </w:tcPr>
          <w:p w14:paraId="02F57777" w14:textId="77777777" w:rsidR="0087162A" w:rsidRPr="00905DD7" w:rsidRDefault="0087162A" w:rsidP="0087162A">
            <w:pPr>
              <w:pStyle w:val="RSCT03TableBody"/>
              <w:spacing w:line="240" w:lineRule="auto"/>
            </w:pPr>
          </w:p>
        </w:tc>
        <w:tc>
          <w:tcPr>
            <w:tcW w:w="657" w:type="dxa"/>
            <w:vAlign w:val="center"/>
          </w:tcPr>
          <w:p w14:paraId="1DF4B70C" w14:textId="77777777" w:rsidR="0087162A" w:rsidRPr="00905DD7" w:rsidRDefault="0087162A" w:rsidP="0087162A">
            <w:pPr>
              <w:pStyle w:val="RSCT03TableBody"/>
              <w:spacing w:line="240" w:lineRule="auto"/>
            </w:pPr>
            <w:r w:rsidRPr="00905DD7">
              <w:t>0.11</w:t>
            </w:r>
          </w:p>
        </w:tc>
        <w:tc>
          <w:tcPr>
            <w:tcW w:w="972" w:type="dxa"/>
            <w:vAlign w:val="center"/>
          </w:tcPr>
          <w:p w14:paraId="501EFE49" w14:textId="77777777" w:rsidR="0087162A" w:rsidRPr="00905DD7" w:rsidRDefault="0087162A" w:rsidP="0087162A">
            <w:pPr>
              <w:pStyle w:val="RSCT03TableBody"/>
              <w:spacing w:line="240" w:lineRule="auto"/>
            </w:pPr>
            <w:r w:rsidRPr="00905DD7">
              <w:t>8:1</w:t>
            </w:r>
          </w:p>
        </w:tc>
        <w:tc>
          <w:tcPr>
            <w:tcW w:w="1982" w:type="dxa"/>
            <w:vAlign w:val="center"/>
          </w:tcPr>
          <w:p w14:paraId="500E0678" w14:textId="77777777" w:rsidR="0087162A" w:rsidRPr="00905DD7" w:rsidRDefault="0087162A" w:rsidP="0087162A">
            <w:pPr>
              <w:pStyle w:val="RSCT03TableBody"/>
              <w:spacing w:line="240" w:lineRule="auto"/>
            </w:pPr>
            <w:r w:rsidRPr="00905DD7">
              <w:t>Yellow hue liquid</w:t>
            </w:r>
          </w:p>
        </w:tc>
        <w:tc>
          <w:tcPr>
            <w:tcW w:w="835" w:type="dxa"/>
            <w:vAlign w:val="center"/>
          </w:tcPr>
          <w:p w14:paraId="451AFC2A" w14:textId="77777777" w:rsidR="0087162A" w:rsidRPr="00905DD7" w:rsidRDefault="0087162A" w:rsidP="0087162A">
            <w:pPr>
              <w:pStyle w:val="RSCT03TableBody"/>
              <w:spacing w:line="240" w:lineRule="auto"/>
            </w:pPr>
            <w:r w:rsidRPr="00905DD7">
              <w:t>71.2-82.7</w:t>
            </w:r>
          </w:p>
        </w:tc>
      </w:tr>
      <w:tr w:rsidR="0087162A" w:rsidRPr="00905DD7" w14:paraId="6C1840E9" w14:textId="77777777" w:rsidTr="00EA76DD">
        <w:trPr>
          <w:trHeight w:val="312"/>
        </w:trPr>
        <w:tc>
          <w:tcPr>
            <w:tcW w:w="611" w:type="dxa"/>
            <w:vMerge/>
            <w:vAlign w:val="center"/>
          </w:tcPr>
          <w:p w14:paraId="7BB612A1" w14:textId="77777777" w:rsidR="0087162A" w:rsidRPr="00905DD7" w:rsidRDefault="0087162A" w:rsidP="0087162A">
            <w:pPr>
              <w:pStyle w:val="RSCT03TableBody"/>
              <w:spacing w:line="240" w:lineRule="auto"/>
            </w:pPr>
          </w:p>
        </w:tc>
        <w:tc>
          <w:tcPr>
            <w:tcW w:w="657" w:type="dxa"/>
            <w:vAlign w:val="center"/>
          </w:tcPr>
          <w:p w14:paraId="12F5A11A" w14:textId="77777777" w:rsidR="0087162A" w:rsidRPr="00905DD7" w:rsidRDefault="0087162A" w:rsidP="0087162A">
            <w:pPr>
              <w:pStyle w:val="RSCT03TableBody"/>
              <w:spacing w:line="240" w:lineRule="auto"/>
            </w:pPr>
            <w:r w:rsidRPr="00905DD7">
              <w:t>0.10</w:t>
            </w:r>
          </w:p>
        </w:tc>
        <w:tc>
          <w:tcPr>
            <w:tcW w:w="972" w:type="dxa"/>
            <w:vAlign w:val="center"/>
          </w:tcPr>
          <w:p w14:paraId="74322A99" w14:textId="77777777" w:rsidR="0087162A" w:rsidRPr="00905DD7" w:rsidRDefault="0087162A" w:rsidP="0087162A">
            <w:pPr>
              <w:pStyle w:val="RSCT03TableBody"/>
              <w:spacing w:line="240" w:lineRule="auto"/>
            </w:pPr>
            <w:r w:rsidRPr="00905DD7">
              <w:t>9:1</w:t>
            </w:r>
          </w:p>
        </w:tc>
        <w:tc>
          <w:tcPr>
            <w:tcW w:w="1982" w:type="dxa"/>
            <w:vAlign w:val="center"/>
          </w:tcPr>
          <w:p w14:paraId="43992CB6" w14:textId="77777777" w:rsidR="0087162A" w:rsidRPr="00905DD7" w:rsidRDefault="0087162A" w:rsidP="0087162A">
            <w:pPr>
              <w:pStyle w:val="RSCT03TableBody"/>
              <w:spacing w:line="240" w:lineRule="auto"/>
            </w:pPr>
            <w:r w:rsidRPr="00905DD7">
              <w:t>Yellow hue liquid</w:t>
            </w:r>
          </w:p>
        </w:tc>
        <w:tc>
          <w:tcPr>
            <w:tcW w:w="835" w:type="dxa"/>
            <w:vAlign w:val="center"/>
          </w:tcPr>
          <w:p w14:paraId="66552924" w14:textId="77777777" w:rsidR="0087162A" w:rsidRPr="00905DD7" w:rsidRDefault="0087162A" w:rsidP="0087162A">
            <w:pPr>
              <w:pStyle w:val="RSCT03TableBody"/>
              <w:spacing w:line="240" w:lineRule="auto"/>
            </w:pPr>
            <w:r w:rsidRPr="00905DD7">
              <w:t>71.1-82.5</w:t>
            </w:r>
          </w:p>
        </w:tc>
      </w:tr>
      <w:tr w:rsidR="0087162A" w:rsidRPr="00905DD7" w14:paraId="5EC01D8A" w14:textId="77777777" w:rsidTr="00EA76DD">
        <w:trPr>
          <w:trHeight w:val="312"/>
        </w:trPr>
        <w:tc>
          <w:tcPr>
            <w:tcW w:w="611" w:type="dxa"/>
            <w:vMerge/>
            <w:tcBorders>
              <w:bottom w:val="single" w:sz="2" w:space="0" w:color="A6A6A6" w:themeColor="background1" w:themeShade="A6"/>
            </w:tcBorders>
            <w:vAlign w:val="center"/>
          </w:tcPr>
          <w:p w14:paraId="797F2DFE" w14:textId="77777777" w:rsidR="0087162A" w:rsidRPr="00905DD7" w:rsidRDefault="0087162A" w:rsidP="0087162A">
            <w:pPr>
              <w:pStyle w:val="RSCT03TableBody"/>
              <w:spacing w:line="240" w:lineRule="auto"/>
            </w:pPr>
          </w:p>
        </w:tc>
        <w:tc>
          <w:tcPr>
            <w:tcW w:w="657" w:type="dxa"/>
            <w:tcBorders>
              <w:bottom w:val="single" w:sz="2" w:space="0" w:color="A6A6A6" w:themeColor="background1" w:themeShade="A6"/>
            </w:tcBorders>
            <w:vAlign w:val="center"/>
          </w:tcPr>
          <w:p w14:paraId="1F145326" w14:textId="77777777" w:rsidR="0087162A" w:rsidRPr="00905DD7" w:rsidRDefault="0087162A" w:rsidP="0087162A">
            <w:pPr>
              <w:pStyle w:val="RSCT03TableBody"/>
              <w:spacing w:line="240" w:lineRule="auto"/>
            </w:pPr>
            <w:r w:rsidRPr="00905DD7">
              <w:t>0.09</w:t>
            </w:r>
          </w:p>
        </w:tc>
        <w:tc>
          <w:tcPr>
            <w:tcW w:w="972" w:type="dxa"/>
            <w:tcBorders>
              <w:bottom w:val="single" w:sz="2" w:space="0" w:color="A6A6A6" w:themeColor="background1" w:themeShade="A6"/>
            </w:tcBorders>
            <w:vAlign w:val="center"/>
          </w:tcPr>
          <w:p w14:paraId="69C6A59B" w14:textId="77777777" w:rsidR="0087162A" w:rsidRPr="00905DD7" w:rsidRDefault="0087162A" w:rsidP="0087162A">
            <w:pPr>
              <w:pStyle w:val="RSCT03TableBody"/>
              <w:spacing w:line="240" w:lineRule="auto"/>
            </w:pPr>
            <w:r w:rsidRPr="00905DD7">
              <w:t>10:1</w:t>
            </w:r>
          </w:p>
        </w:tc>
        <w:tc>
          <w:tcPr>
            <w:tcW w:w="1982" w:type="dxa"/>
            <w:tcBorders>
              <w:bottom w:val="single" w:sz="2" w:space="0" w:color="A6A6A6" w:themeColor="background1" w:themeShade="A6"/>
            </w:tcBorders>
            <w:vAlign w:val="center"/>
          </w:tcPr>
          <w:p w14:paraId="04CC0C1F" w14:textId="77777777" w:rsidR="0087162A" w:rsidRPr="00905DD7" w:rsidRDefault="0087162A" w:rsidP="0087162A">
            <w:pPr>
              <w:pStyle w:val="RSCT03TableBody"/>
              <w:spacing w:line="240" w:lineRule="auto"/>
            </w:pPr>
            <w:r w:rsidRPr="00905DD7">
              <w:t>Yellow hue liquid</w:t>
            </w:r>
          </w:p>
        </w:tc>
        <w:tc>
          <w:tcPr>
            <w:tcW w:w="835" w:type="dxa"/>
            <w:tcBorders>
              <w:bottom w:val="single" w:sz="2" w:space="0" w:color="A6A6A6" w:themeColor="background1" w:themeShade="A6"/>
            </w:tcBorders>
            <w:vAlign w:val="center"/>
          </w:tcPr>
          <w:p w14:paraId="22F9A874" w14:textId="77777777" w:rsidR="0087162A" w:rsidRPr="00905DD7" w:rsidRDefault="0087162A" w:rsidP="0087162A">
            <w:pPr>
              <w:pStyle w:val="RSCT03TableBody"/>
              <w:spacing w:line="240" w:lineRule="auto"/>
            </w:pPr>
            <w:r w:rsidRPr="00905DD7">
              <w:t>70.7-82.6</w:t>
            </w:r>
          </w:p>
        </w:tc>
      </w:tr>
      <w:tr w:rsidR="0087162A" w:rsidRPr="00905DD7" w14:paraId="54A78C85" w14:textId="77777777" w:rsidTr="00EA76DD">
        <w:trPr>
          <w:trHeight w:val="312"/>
        </w:trPr>
        <w:tc>
          <w:tcPr>
            <w:tcW w:w="611" w:type="dxa"/>
            <w:vMerge w:val="restart"/>
            <w:tcBorders>
              <w:top w:val="single" w:sz="2" w:space="0" w:color="A6A6A6" w:themeColor="background1" w:themeShade="A6"/>
            </w:tcBorders>
            <w:vAlign w:val="center"/>
          </w:tcPr>
          <w:p w14:paraId="0B3A2834" w14:textId="77777777" w:rsidR="0087162A" w:rsidRPr="00905DD7" w:rsidRDefault="0087162A" w:rsidP="0087162A">
            <w:pPr>
              <w:pStyle w:val="RSCT03TableBody"/>
              <w:spacing w:line="240" w:lineRule="auto"/>
            </w:pPr>
            <w:r w:rsidRPr="00905DD7">
              <w:t>Ga</w:t>
            </w:r>
          </w:p>
        </w:tc>
        <w:tc>
          <w:tcPr>
            <w:tcW w:w="657" w:type="dxa"/>
            <w:tcBorders>
              <w:top w:val="single" w:sz="2" w:space="0" w:color="A6A6A6" w:themeColor="background1" w:themeShade="A6"/>
            </w:tcBorders>
            <w:vAlign w:val="center"/>
          </w:tcPr>
          <w:p w14:paraId="51250A0A" w14:textId="77777777" w:rsidR="0087162A" w:rsidRPr="00905DD7" w:rsidRDefault="0087162A" w:rsidP="0087162A">
            <w:pPr>
              <w:pStyle w:val="RSCT03TableBody"/>
              <w:spacing w:line="240" w:lineRule="auto"/>
            </w:pPr>
            <w:r w:rsidRPr="00905DD7">
              <w:t>0.33</w:t>
            </w:r>
          </w:p>
        </w:tc>
        <w:tc>
          <w:tcPr>
            <w:tcW w:w="972" w:type="dxa"/>
            <w:tcBorders>
              <w:top w:val="single" w:sz="2" w:space="0" w:color="A6A6A6" w:themeColor="background1" w:themeShade="A6"/>
            </w:tcBorders>
            <w:vAlign w:val="center"/>
          </w:tcPr>
          <w:p w14:paraId="14FEEF7C" w14:textId="77777777" w:rsidR="0087162A" w:rsidRPr="00905DD7" w:rsidRDefault="0087162A" w:rsidP="0087162A">
            <w:pPr>
              <w:pStyle w:val="RSCT03TableBody"/>
              <w:spacing w:line="240" w:lineRule="auto"/>
            </w:pPr>
            <w:r w:rsidRPr="00905DD7">
              <w:t>2:1</w:t>
            </w:r>
          </w:p>
        </w:tc>
        <w:tc>
          <w:tcPr>
            <w:tcW w:w="1982" w:type="dxa"/>
            <w:tcBorders>
              <w:top w:val="single" w:sz="2" w:space="0" w:color="A6A6A6" w:themeColor="background1" w:themeShade="A6"/>
            </w:tcBorders>
            <w:vAlign w:val="center"/>
          </w:tcPr>
          <w:p w14:paraId="13363753" w14:textId="77777777" w:rsidR="0087162A" w:rsidRPr="00905DD7" w:rsidRDefault="0087162A" w:rsidP="0087162A">
            <w:pPr>
              <w:pStyle w:val="RSCT03TableBody"/>
              <w:spacing w:line="240" w:lineRule="auto"/>
            </w:pPr>
            <w:r w:rsidRPr="00905DD7">
              <w:t>Very viscous, orange liquid</w:t>
            </w:r>
          </w:p>
        </w:tc>
        <w:tc>
          <w:tcPr>
            <w:tcW w:w="835" w:type="dxa"/>
            <w:tcBorders>
              <w:top w:val="single" w:sz="2" w:space="0" w:color="A6A6A6" w:themeColor="background1" w:themeShade="A6"/>
            </w:tcBorders>
            <w:vAlign w:val="center"/>
          </w:tcPr>
          <w:p w14:paraId="21F52560" w14:textId="77777777" w:rsidR="0087162A" w:rsidRPr="00905DD7" w:rsidRDefault="0087162A" w:rsidP="0087162A">
            <w:pPr>
              <w:pStyle w:val="RSCT03TableBody"/>
              <w:spacing w:line="240" w:lineRule="auto"/>
            </w:pPr>
            <w:r w:rsidRPr="00905DD7">
              <w:t>79.6-92.4</w:t>
            </w:r>
          </w:p>
        </w:tc>
      </w:tr>
      <w:tr w:rsidR="0087162A" w:rsidRPr="00905DD7" w14:paraId="32C89495" w14:textId="77777777" w:rsidTr="00EA76DD">
        <w:trPr>
          <w:trHeight w:val="312"/>
        </w:trPr>
        <w:tc>
          <w:tcPr>
            <w:tcW w:w="611" w:type="dxa"/>
            <w:vMerge/>
          </w:tcPr>
          <w:p w14:paraId="3AC6B072" w14:textId="77777777" w:rsidR="0087162A" w:rsidRPr="00905DD7" w:rsidRDefault="0087162A" w:rsidP="0087162A">
            <w:pPr>
              <w:pStyle w:val="RSCT03TableBody"/>
              <w:spacing w:line="240" w:lineRule="auto"/>
            </w:pPr>
          </w:p>
        </w:tc>
        <w:tc>
          <w:tcPr>
            <w:tcW w:w="657" w:type="dxa"/>
            <w:vAlign w:val="center"/>
          </w:tcPr>
          <w:p w14:paraId="736BCEFE" w14:textId="77777777" w:rsidR="0087162A" w:rsidRPr="00905DD7" w:rsidRDefault="0087162A" w:rsidP="0087162A">
            <w:pPr>
              <w:pStyle w:val="RSCT03TableBody"/>
              <w:spacing w:line="240" w:lineRule="auto"/>
            </w:pPr>
            <w:r w:rsidRPr="00905DD7">
              <w:t>0.25</w:t>
            </w:r>
          </w:p>
        </w:tc>
        <w:tc>
          <w:tcPr>
            <w:tcW w:w="972" w:type="dxa"/>
            <w:vAlign w:val="center"/>
          </w:tcPr>
          <w:p w14:paraId="09F0CE5A" w14:textId="77777777" w:rsidR="0087162A" w:rsidRPr="00905DD7" w:rsidRDefault="0087162A" w:rsidP="0087162A">
            <w:pPr>
              <w:pStyle w:val="RSCT03TableBody"/>
              <w:spacing w:line="240" w:lineRule="auto"/>
            </w:pPr>
            <w:r w:rsidRPr="00905DD7">
              <w:t>3:1</w:t>
            </w:r>
          </w:p>
        </w:tc>
        <w:tc>
          <w:tcPr>
            <w:tcW w:w="1982" w:type="dxa"/>
            <w:vAlign w:val="center"/>
          </w:tcPr>
          <w:p w14:paraId="762911B5" w14:textId="77777777" w:rsidR="0087162A" w:rsidRPr="00905DD7" w:rsidRDefault="0087162A" w:rsidP="0087162A">
            <w:pPr>
              <w:pStyle w:val="RSCT03TableBody"/>
              <w:spacing w:line="240" w:lineRule="auto"/>
            </w:pPr>
            <w:r w:rsidRPr="00905DD7">
              <w:t>Viscous, light orange liquid</w:t>
            </w:r>
          </w:p>
        </w:tc>
        <w:tc>
          <w:tcPr>
            <w:tcW w:w="835" w:type="dxa"/>
            <w:vAlign w:val="center"/>
          </w:tcPr>
          <w:p w14:paraId="209943BE" w14:textId="77777777" w:rsidR="0087162A" w:rsidRPr="00905DD7" w:rsidRDefault="0087162A" w:rsidP="0087162A">
            <w:pPr>
              <w:pStyle w:val="RSCT03TableBody"/>
              <w:spacing w:line="240" w:lineRule="auto"/>
            </w:pPr>
            <w:r w:rsidRPr="00905DD7">
              <w:t>81.6-92.3</w:t>
            </w:r>
          </w:p>
        </w:tc>
      </w:tr>
      <w:tr w:rsidR="0087162A" w:rsidRPr="00905DD7" w14:paraId="7C3B02F5" w14:textId="77777777" w:rsidTr="00EA76DD">
        <w:trPr>
          <w:trHeight w:val="312"/>
        </w:trPr>
        <w:tc>
          <w:tcPr>
            <w:tcW w:w="611" w:type="dxa"/>
            <w:vMerge/>
          </w:tcPr>
          <w:p w14:paraId="53F8F9AF" w14:textId="77777777" w:rsidR="0087162A" w:rsidRPr="00905DD7" w:rsidRDefault="0087162A" w:rsidP="0087162A">
            <w:pPr>
              <w:pStyle w:val="RSCT03TableBody"/>
              <w:spacing w:line="240" w:lineRule="auto"/>
            </w:pPr>
          </w:p>
        </w:tc>
        <w:tc>
          <w:tcPr>
            <w:tcW w:w="657" w:type="dxa"/>
            <w:vAlign w:val="center"/>
          </w:tcPr>
          <w:p w14:paraId="118F9B73" w14:textId="77777777" w:rsidR="0087162A" w:rsidRPr="00905DD7" w:rsidRDefault="0087162A" w:rsidP="0087162A">
            <w:pPr>
              <w:pStyle w:val="RSCT03TableBody"/>
              <w:spacing w:line="240" w:lineRule="auto"/>
            </w:pPr>
            <w:r w:rsidRPr="00905DD7">
              <w:t>0.20</w:t>
            </w:r>
          </w:p>
        </w:tc>
        <w:tc>
          <w:tcPr>
            <w:tcW w:w="972" w:type="dxa"/>
            <w:vAlign w:val="center"/>
          </w:tcPr>
          <w:p w14:paraId="4D4B3B55" w14:textId="77777777" w:rsidR="0087162A" w:rsidRPr="00905DD7" w:rsidRDefault="0087162A" w:rsidP="0087162A">
            <w:pPr>
              <w:pStyle w:val="RSCT03TableBody"/>
              <w:spacing w:line="240" w:lineRule="auto"/>
            </w:pPr>
            <w:r w:rsidRPr="00905DD7">
              <w:t>4:1</w:t>
            </w:r>
          </w:p>
        </w:tc>
        <w:tc>
          <w:tcPr>
            <w:tcW w:w="1982" w:type="dxa"/>
            <w:vAlign w:val="center"/>
          </w:tcPr>
          <w:p w14:paraId="5A2FFA54" w14:textId="77777777" w:rsidR="0087162A" w:rsidRPr="00905DD7" w:rsidRDefault="0087162A" w:rsidP="0087162A">
            <w:pPr>
              <w:pStyle w:val="RSCT03TableBody"/>
              <w:spacing w:line="240" w:lineRule="auto"/>
            </w:pPr>
            <w:r w:rsidRPr="00905DD7">
              <w:t>Pale orange liquid</w:t>
            </w:r>
          </w:p>
        </w:tc>
        <w:tc>
          <w:tcPr>
            <w:tcW w:w="835" w:type="dxa"/>
            <w:vAlign w:val="center"/>
          </w:tcPr>
          <w:p w14:paraId="7DA3492B" w14:textId="77777777" w:rsidR="0087162A" w:rsidRPr="00905DD7" w:rsidRDefault="0087162A" w:rsidP="0087162A">
            <w:pPr>
              <w:pStyle w:val="RSCT03TableBody"/>
              <w:spacing w:line="240" w:lineRule="auto"/>
            </w:pPr>
            <w:r w:rsidRPr="00905DD7">
              <w:t>80.4-92.3</w:t>
            </w:r>
          </w:p>
        </w:tc>
      </w:tr>
      <w:tr w:rsidR="0087162A" w:rsidRPr="00905DD7" w14:paraId="397B003E" w14:textId="77777777" w:rsidTr="00EA76DD">
        <w:trPr>
          <w:trHeight w:val="312"/>
        </w:trPr>
        <w:tc>
          <w:tcPr>
            <w:tcW w:w="611" w:type="dxa"/>
            <w:vMerge/>
          </w:tcPr>
          <w:p w14:paraId="7EED7972" w14:textId="77777777" w:rsidR="0087162A" w:rsidRPr="00905DD7" w:rsidRDefault="0087162A" w:rsidP="0087162A">
            <w:pPr>
              <w:pStyle w:val="RSCT03TableBody"/>
              <w:spacing w:line="240" w:lineRule="auto"/>
            </w:pPr>
          </w:p>
        </w:tc>
        <w:tc>
          <w:tcPr>
            <w:tcW w:w="657" w:type="dxa"/>
            <w:vAlign w:val="center"/>
          </w:tcPr>
          <w:p w14:paraId="775901C6" w14:textId="77777777" w:rsidR="0087162A" w:rsidRPr="00905DD7" w:rsidRDefault="0087162A" w:rsidP="0087162A">
            <w:pPr>
              <w:pStyle w:val="RSCT03TableBody"/>
              <w:spacing w:line="240" w:lineRule="auto"/>
            </w:pPr>
            <w:r w:rsidRPr="00905DD7">
              <w:t>0.17</w:t>
            </w:r>
          </w:p>
        </w:tc>
        <w:tc>
          <w:tcPr>
            <w:tcW w:w="972" w:type="dxa"/>
            <w:vAlign w:val="center"/>
          </w:tcPr>
          <w:p w14:paraId="2CA5F068" w14:textId="77777777" w:rsidR="0087162A" w:rsidRPr="00905DD7" w:rsidRDefault="0087162A" w:rsidP="0087162A">
            <w:pPr>
              <w:pStyle w:val="RSCT03TableBody"/>
              <w:spacing w:line="240" w:lineRule="auto"/>
            </w:pPr>
            <w:r w:rsidRPr="00905DD7">
              <w:t>5:1</w:t>
            </w:r>
          </w:p>
        </w:tc>
        <w:tc>
          <w:tcPr>
            <w:tcW w:w="1982" w:type="dxa"/>
            <w:vAlign w:val="center"/>
          </w:tcPr>
          <w:p w14:paraId="750499C6" w14:textId="77777777" w:rsidR="0087162A" w:rsidRPr="00905DD7" w:rsidRDefault="0087162A" w:rsidP="0087162A">
            <w:pPr>
              <w:pStyle w:val="RSCT03TableBody"/>
              <w:spacing w:line="240" w:lineRule="auto"/>
            </w:pPr>
            <w:r w:rsidRPr="00905DD7">
              <w:t>Pale orange liquid</w:t>
            </w:r>
          </w:p>
        </w:tc>
        <w:tc>
          <w:tcPr>
            <w:tcW w:w="835" w:type="dxa"/>
            <w:vAlign w:val="center"/>
          </w:tcPr>
          <w:p w14:paraId="4C8C3285" w14:textId="77777777" w:rsidR="0087162A" w:rsidRPr="00905DD7" w:rsidRDefault="0087162A" w:rsidP="0087162A">
            <w:pPr>
              <w:pStyle w:val="RSCT03TableBody"/>
              <w:spacing w:line="240" w:lineRule="auto"/>
            </w:pPr>
            <w:r w:rsidRPr="00905DD7">
              <w:t>80.3-93.4</w:t>
            </w:r>
          </w:p>
        </w:tc>
      </w:tr>
      <w:tr w:rsidR="0087162A" w:rsidRPr="00905DD7" w14:paraId="3F9A4B57" w14:textId="77777777" w:rsidTr="00EA76DD">
        <w:trPr>
          <w:trHeight w:val="312"/>
        </w:trPr>
        <w:tc>
          <w:tcPr>
            <w:tcW w:w="611" w:type="dxa"/>
            <w:vMerge/>
          </w:tcPr>
          <w:p w14:paraId="3EC521E4" w14:textId="77777777" w:rsidR="0087162A" w:rsidRPr="00905DD7" w:rsidRDefault="0087162A" w:rsidP="0087162A">
            <w:pPr>
              <w:pStyle w:val="RSCT03TableBody"/>
              <w:spacing w:line="240" w:lineRule="auto"/>
            </w:pPr>
          </w:p>
        </w:tc>
        <w:tc>
          <w:tcPr>
            <w:tcW w:w="657" w:type="dxa"/>
            <w:vAlign w:val="center"/>
          </w:tcPr>
          <w:p w14:paraId="2BB1F9BA" w14:textId="77777777" w:rsidR="0087162A" w:rsidRPr="00905DD7" w:rsidRDefault="0087162A" w:rsidP="0087162A">
            <w:pPr>
              <w:pStyle w:val="RSCT03TableBody"/>
              <w:spacing w:line="240" w:lineRule="auto"/>
            </w:pPr>
            <w:r w:rsidRPr="00905DD7">
              <w:t>0.14</w:t>
            </w:r>
          </w:p>
        </w:tc>
        <w:tc>
          <w:tcPr>
            <w:tcW w:w="972" w:type="dxa"/>
            <w:vAlign w:val="center"/>
          </w:tcPr>
          <w:p w14:paraId="65C61C80" w14:textId="77777777" w:rsidR="0087162A" w:rsidRPr="00905DD7" w:rsidRDefault="0087162A" w:rsidP="0087162A">
            <w:pPr>
              <w:pStyle w:val="RSCT03TableBody"/>
              <w:spacing w:line="240" w:lineRule="auto"/>
            </w:pPr>
            <w:r w:rsidRPr="00905DD7">
              <w:t>6:1</w:t>
            </w:r>
          </w:p>
        </w:tc>
        <w:tc>
          <w:tcPr>
            <w:tcW w:w="1982" w:type="dxa"/>
            <w:vAlign w:val="center"/>
          </w:tcPr>
          <w:p w14:paraId="7C4042B9" w14:textId="77777777" w:rsidR="0087162A" w:rsidRPr="00905DD7" w:rsidRDefault="0087162A" w:rsidP="0087162A">
            <w:pPr>
              <w:pStyle w:val="RSCT03TableBody"/>
              <w:spacing w:line="240" w:lineRule="auto"/>
            </w:pPr>
            <w:r w:rsidRPr="00905DD7">
              <w:t>Pale orange liquid</w:t>
            </w:r>
          </w:p>
        </w:tc>
        <w:tc>
          <w:tcPr>
            <w:tcW w:w="835" w:type="dxa"/>
            <w:vAlign w:val="center"/>
          </w:tcPr>
          <w:p w14:paraId="484CA672" w14:textId="77777777" w:rsidR="0087162A" w:rsidRPr="00905DD7" w:rsidRDefault="0087162A" w:rsidP="0087162A">
            <w:pPr>
              <w:pStyle w:val="RSCT03TableBody"/>
              <w:spacing w:line="240" w:lineRule="auto"/>
            </w:pPr>
            <w:r w:rsidRPr="00905DD7">
              <w:t>80.3-92.8</w:t>
            </w:r>
          </w:p>
        </w:tc>
      </w:tr>
      <w:tr w:rsidR="0087162A" w:rsidRPr="00905DD7" w14:paraId="35A9F0A2" w14:textId="77777777" w:rsidTr="00EA76DD">
        <w:trPr>
          <w:trHeight w:val="312"/>
        </w:trPr>
        <w:tc>
          <w:tcPr>
            <w:tcW w:w="611" w:type="dxa"/>
            <w:vMerge/>
          </w:tcPr>
          <w:p w14:paraId="1D491FF9" w14:textId="77777777" w:rsidR="0087162A" w:rsidRPr="00905DD7" w:rsidRDefault="0087162A" w:rsidP="0087162A">
            <w:pPr>
              <w:pStyle w:val="RSCT03TableBody"/>
              <w:spacing w:line="240" w:lineRule="auto"/>
            </w:pPr>
          </w:p>
        </w:tc>
        <w:tc>
          <w:tcPr>
            <w:tcW w:w="657" w:type="dxa"/>
            <w:vAlign w:val="center"/>
          </w:tcPr>
          <w:p w14:paraId="195C655B" w14:textId="77777777" w:rsidR="0087162A" w:rsidRPr="00905DD7" w:rsidRDefault="0087162A" w:rsidP="0087162A">
            <w:pPr>
              <w:pStyle w:val="RSCT03TableBody"/>
              <w:spacing w:line="240" w:lineRule="auto"/>
            </w:pPr>
            <w:r w:rsidRPr="00905DD7">
              <w:t>0.13</w:t>
            </w:r>
          </w:p>
        </w:tc>
        <w:tc>
          <w:tcPr>
            <w:tcW w:w="972" w:type="dxa"/>
            <w:vAlign w:val="center"/>
          </w:tcPr>
          <w:p w14:paraId="08A91BFE" w14:textId="77777777" w:rsidR="0087162A" w:rsidRPr="00905DD7" w:rsidRDefault="0087162A" w:rsidP="0087162A">
            <w:pPr>
              <w:pStyle w:val="RSCT03TableBody"/>
              <w:spacing w:line="240" w:lineRule="auto"/>
            </w:pPr>
            <w:r w:rsidRPr="00905DD7">
              <w:t>7:1</w:t>
            </w:r>
          </w:p>
        </w:tc>
        <w:tc>
          <w:tcPr>
            <w:tcW w:w="1982" w:type="dxa"/>
            <w:vAlign w:val="center"/>
          </w:tcPr>
          <w:p w14:paraId="5AA3A122" w14:textId="77777777" w:rsidR="0087162A" w:rsidRPr="00905DD7" w:rsidRDefault="0087162A" w:rsidP="0087162A">
            <w:pPr>
              <w:pStyle w:val="RSCT03TableBody"/>
              <w:spacing w:line="240" w:lineRule="auto"/>
            </w:pPr>
            <w:r w:rsidRPr="00905DD7">
              <w:t>Orange hue liquid</w:t>
            </w:r>
          </w:p>
        </w:tc>
        <w:tc>
          <w:tcPr>
            <w:tcW w:w="835" w:type="dxa"/>
            <w:vAlign w:val="center"/>
          </w:tcPr>
          <w:p w14:paraId="52698897" w14:textId="77777777" w:rsidR="0087162A" w:rsidRPr="00905DD7" w:rsidRDefault="0087162A" w:rsidP="0087162A">
            <w:pPr>
              <w:pStyle w:val="RSCT03TableBody"/>
              <w:spacing w:line="240" w:lineRule="auto"/>
            </w:pPr>
            <w:r w:rsidRPr="00905DD7">
              <w:t>79.9-92.6</w:t>
            </w:r>
          </w:p>
        </w:tc>
      </w:tr>
      <w:tr w:rsidR="0087162A" w:rsidRPr="00905DD7" w14:paraId="7D28685B" w14:textId="77777777" w:rsidTr="00EA76DD">
        <w:trPr>
          <w:trHeight w:val="312"/>
        </w:trPr>
        <w:tc>
          <w:tcPr>
            <w:tcW w:w="611" w:type="dxa"/>
            <w:vMerge/>
          </w:tcPr>
          <w:p w14:paraId="53814048" w14:textId="77777777" w:rsidR="0087162A" w:rsidRPr="00905DD7" w:rsidRDefault="0087162A" w:rsidP="0087162A">
            <w:pPr>
              <w:pStyle w:val="RSCT03TableBody"/>
              <w:spacing w:line="240" w:lineRule="auto"/>
            </w:pPr>
          </w:p>
        </w:tc>
        <w:tc>
          <w:tcPr>
            <w:tcW w:w="657" w:type="dxa"/>
            <w:vAlign w:val="center"/>
          </w:tcPr>
          <w:p w14:paraId="208BE44C" w14:textId="77777777" w:rsidR="0087162A" w:rsidRPr="00905DD7" w:rsidRDefault="0087162A" w:rsidP="0087162A">
            <w:pPr>
              <w:pStyle w:val="RSCT03TableBody"/>
              <w:spacing w:line="240" w:lineRule="auto"/>
            </w:pPr>
            <w:r w:rsidRPr="00905DD7">
              <w:t>0.11</w:t>
            </w:r>
          </w:p>
        </w:tc>
        <w:tc>
          <w:tcPr>
            <w:tcW w:w="972" w:type="dxa"/>
            <w:vAlign w:val="center"/>
          </w:tcPr>
          <w:p w14:paraId="31C1FECB" w14:textId="77777777" w:rsidR="0087162A" w:rsidRPr="00905DD7" w:rsidRDefault="0087162A" w:rsidP="0087162A">
            <w:pPr>
              <w:pStyle w:val="RSCT03TableBody"/>
              <w:spacing w:line="240" w:lineRule="auto"/>
            </w:pPr>
            <w:r w:rsidRPr="00905DD7">
              <w:t>8:1</w:t>
            </w:r>
          </w:p>
        </w:tc>
        <w:tc>
          <w:tcPr>
            <w:tcW w:w="1982" w:type="dxa"/>
            <w:vAlign w:val="center"/>
          </w:tcPr>
          <w:p w14:paraId="7A587AA6" w14:textId="77777777" w:rsidR="0087162A" w:rsidRPr="00905DD7" w:rsidRDefault="0087162A" w:rsidP="0087162A">
            <w:pPr>
              <w:pStyle w:val="RSCT03TableBody"/>
              <w:spacing w:line="240" w:lineRule="auto"/>
            </w:pPr>
            <w:r w:rsidRPr="00905DD7">
              <w:t>Orange hue liquid</w:t>
            </w:r>
          </w:p>
        </w:tc>
        <w:tc>
          <w:tcPr>
            <w:tcW w:w="835" w:type="dxa"/>
            <w:vAlign w:val="center"/>
          </w:tcPr>
          <w:p w14:paraId="2F662865" w14:textId="77777777" w:rsidR="0087162A" w:rsidRPr="00905DD7" w:rsidRDefault="0087162A" w:rsidP="0087162A">
            <w:pPr>
              <w:pStyle w:val="RSCT03TableBody"/>
              <w:spacing w:line="240" w:lineRule="auto"/>
            </w:pPr>
            <w:r w:rsidRPr="00905DD7">
              <w:t>79.6-93.4</w:t>
            </w:r>
          </w:p>
        </w:tc>
      </w:tr>
      <w:tr w:rsidR="0087162A" w:rsidRPr="00905DD7" w14:paraId="51E5EE30" w14:textId="77777777" w:rsidTr="00EA76DD">
        <w:trPr>
          <w:trHeight w:val="312"/>
        </w:trPr>
        <w:tc>
          <w:tcPr>
            <w:tcW w:w="611" w:type="dxa"/>
            <w:vMerge/>
          </w:tcPr>
          <w:p w14:paraId="123857B5" w14:textId="77777777" w:rsidR="0087162A" w:rsidRPr="00905DD7" w:rsidRDefault="0087162A" w:rsidP="0087162A">
            <w:pPr>
              <w:pStyle w:val="RSCT03TableBody"/>
              <w:spacing w:line="240" w:lineRule="auto"/>
            </w:pPr>
          </w:p>
        </w:tc>
        <w:tc>
          <w:tcPr>
            <w:tcW w:w="657" w:type="dxa"/>
            <w:vAlign w:val="center"/>
          </w:tcPr>
          <w:p w14:paraId="16897CEB" w14:textId="77777777" w:rsidR="0087162A" w:rsidRPr="00905DD7" w:rsidRDefault="0087162A" w:rsidP="0087162A">
            <w:pPr>
              <w:pStyle w:val="RSCT03TableBody"/>
              <w:spacing w:line="240" w:lineRule="auto"/>
            </w:pPr>
            <w:r w:rsidRPr="00905DD7">
              <w:t>0.10</w:t>
            </w:r>
          </w:p>
        </w:tc>
        <w:tc>
          <w:tcPr>
            <w:tcW w:w="972" w:type="dxa"/>
            <w:vAlign w:val="center"/>
          </w:tcPr>
          <w:p w14:paraId="338A05C2" w14:textId="77777777" w:rsidR="0087162A" w:rsidRPr="00905DD7" w:rsidRDefault="0087162A" w:rsidP="0087162A">
            <w:pPr>
              <w:pStyle w:val="RSCT03TableBody"/>
              <w:spacing w:line="240" w:lineRule="auto"/>
            </w:pPr>
            <w:r w:rsidRPr="00905DD7">
              <w:t>9:1</w:t>
            </w:r>
          </w:p>
        </w:tc>
        <w:tc>
          <w:tcPr>
            <w:tcW w:w="1982" w:type="dxa"/>
            <w:vAlign w:val="center"/>
          </w:tcPr>
          <w:p w14:paraId="510BBAC4" w14:textId="77777777" w:rsidR="0087162A" w:rsidRPr="00905DD7" w:rsidRDefault="0087162A" w:rsidP="0087162A">
            <w:pPr>
              <w:pStyle w:val="RSCT03TableBody"/>
              <w:spacing w:line="240" w:lineRule="auto"/>
            </w:pPr>
            <w:r w:rsidRPr="00905DD7">
              <w:t>Orange hue liquid</w:t>
            </w:r>
          </w:p>
        </w:tc>
        <w:tc>
          <w:tcPr>
            <w:tcW w:w="835" w:type="dxa"/>
            <w:vAlign w:val="center"/>
          </w:tcPr>
          <w:p w14:paraId="4A08E27F" w14:textId="77777777" w:rsidR="0087162A" w:rsidRPr="00905DD7" w:rsidRDefault="0087162A" w:rsidP="0087162A">
            <w:pPr>
              <w:pStyle w:val="RSCT03TableBody"/>
              <w:spacing w:line="240" w:lineRule="auto"/>
            </w:pPr>
            <w:r w:rsidRPr="00905DD7">
              <w:t>80.0-93.5</w:t>
            </w:r>
          </w:p>
        </w:tc>
      </w:tr>
      <w:tr w:rsidR="0087162A" w:rsidRPr="00905DD7" w14:paraId="3547F771" w14:textId="77777777" w:rsidTr="00EA76DD">
        <w:trPr>
          <w:trHeight w:val="312"/>
        </w:trPr>
        <w:tc>
          <w:tcPr>
            <w:tcW w:w="611" w:type="dxa"/>
            <w:vMerge/>
            <w:tcBorders>
              <w:bottom w:val="single" w:sz="2" w:space="0" w:color="A6A6A6" w:themeColor="background1" w:themeShade="A6"/>
            </w:tcBorders>
          </w:tcPr>
          <w:p w14:paraId="7CEF8F49" w14:textId="77777777" w:rsidR="0087162A" w:rsidRPr="00905DD7" w:rsidRDefault="0087162A" w:rsidP="0087162A">
            <w:pPr>
              <w:pStyle w:val="RSCT03TableBody"/>
              <w:spacing w:line="240" w:lineRule="auto"/>
            </w:pPr>
          </w:p>
        </w:tc>
        <w:tc>
          <w:tcPr>
            <w:tcW w:w="657" w:type="dxa"/>
            <w:tcBorders>
              <w:bottom w:val="single" w:sz="2" w:space="0" w:color="A6A6A6" w:themeColor="background1" w:themeShade="A6"/>
            </w:tcBorders>
            <w:vAlign w:val="center"/>
          </w:tcPr>
          <w:p w14:paraId="0D58DA49" w14:textId="77777777" w:rsidR="0087162A" w:rsidRPr="00905DD7" w:rsidRDefault="0087162A" w:rsidP="0087162A">
            <w:pPr>
              <w:pStyle w:val="RSCT03TableBody"/>
              <w:spacing w:line="240" w:lineRule="auto"/>
            </w:pPr>
            <w:r w:rsidRPr="00905DD7">
              <w:t>0.09</w:t>
            </w:r>
          </w:p>
        </w:tc>
        <w:tc>
          <w:tcPr>
            <w:tcW w:w="972" w:type="dxa"/>
            <w:tcBorders>
              <w:bottom w:val="single" w:sz="2" w:space="0" w:color="A6A6A6" w:themeColor="background1" w:themeShade="A6"/>
            </w:tcBorders>
            <w:vAlign w:val="center"/>
          </w:tcPr>
          <w:p w14:paraId="24BAD240" w14:textId="77777777" w:rsidR="0087162A" w:rsidRPr="00905DD7" w:rsidRDefault="0087162A" w:rsidP="0087162A">
            <w:pPr>
              <w:pStyle w:val="RSCT03TableBody"/>
              <w:spacing w:line="240" w:lineRule="auto"/>
            </w:pPr>
            <w:r w:rsidRPr="00905DD7">
              <w:t>10:1</w:t>
            </w:r>
          </w:p>
        </w:tc>
        <w:tc>
          <w:tcPr>
            <w:tcW w:w="1982" w:type="dxa"/>
            <w:tcBorders>
              <w:bottom w:val="single" w:sz="2" w:space="0" w:color="A6A6A6" w:themeColor="background1" w:themeShade="A6"/>
            </w:tcBorders>
            <w:vAlign w:val="center"/>
          </w:tcPr>
          <w:p w14:paraId="2E20AFC7" w14:textId="77777777" w:rsidR="0087162A" w:rsidRPr="00905DD7" w:rsidRDefault="0087162A" w:rsidP="0087162A">
            <w:pPr>
              <w:pStyle w:val="RSCT03TableBody"/>
              <w:spacing w:line="240" w:lineRule="auto"/>
            </w:pPr>
            <w:r w:rsidRPr="00905DD7">
              <w:t>Orange hue liquid</w:t>
            </w:r>
          </w:p>
        </w:tc>
        <w:tc>
          <w:tcPr>
            <w:tcW w:w="835" w:type="dxa"/>
            <w:tcBorders>
              <w:bottom w:val="single" w:sz="2" w:space="0" w:color="A6A6A6" w:themeColor="background1" w:themeShade="A6"/>
            </w:tcBorders>
            <w:vAlign w:val="center"/>
          </w:tcPr>
          <w:p w14:paraId="3704268E" w14:textId="77777777" w:rsidR="0087162A" w:rsidRPr="00905DD7" w:rsidRDefault="0087162A" w:rsidP="0087162A">
            <w:pPr>
              <w:pStyle w:val="RSCT03TableBody"/>
              <w:spacing w:line="240" w:lineRule="auto"/>
            </w:pPr>
            <w:r w:rsidRPr="00905DD7">
              <w:t>80.1-93.3</w:t>
            </w:r>
          </w:p>
        </w:tc>
      </w:tr>
      <w:tr w:rsidR="0087162A" w:rsidRPr="00905DD7" w14:paraId="03AF4A6C" w14:textId="77777777" w:rsidTr="00EA76DD">
        <w:trPr>
          <w:trHeight w:val="312"/>
        </w:trPr>
        <w:tc>
          <w:tcPr>
            <w:tcW w:w="611" w:type="dxa"/>
            <w:tcBorders>
              <w:top w:val="single" w:sz="2" w:space="0" w:color="A6A6A6" w:themeColor="background1" w:themeShade="A6"/>
              <w:bottom w:val="single" w:sz="8" w:space="0" w:color="000000"/>
            </w:tcBorders>
            <w:vAlign w:val="center"/>
          </w:tcPr>
          <w:p w14:paraId="24EC8C6F" w14:textId="77777777" w:rsidR="0087162A" w:rsidRPr="00905DD7" w:rsidRDefault="0087162A" w:rsidP="0087162A">
            <w:pPr>
              <w:pStyle w:val="RSCT03TableBody"/>
              <w:spacing w:line="240" w:lineRule="auto"/>
            </w:pPr>
            <w:r w:rsidRPr="00905DD7">
              <w:t>-</w:t>
            </w:r>
          </w:p>
        </w:tc>
        <w:tc>
          <w:tcPr>
            <w:tcW w:w="657" w:type="dxa"/>
            <w:tcBorders>
              <w:top w:val="single" w:sz="2" w:space="0" w:color="A6A6A6" w:themeColor="background1" w:themeShade="A6"/>
              <w:bottom w:val="single" w:sz="8" w:space="0" w:color="000000"/>
            </w:tcBorders>
            <w:vAlign w:val="center"/>
          </w:tcPr>
          <w:p w14:paraId="21D444C2" w14:textId="77777777" w:rsidR="0087162A" w:rsidRPr="00905DD7" w:rsidRDefault="0087162A" w:rsidP="0087162A">
            <w:pPr>
              <w:pStyle w:val="RSCT03TableBody"/>
              <w:spacing w:line="240" w:lineRule="auto"/>
            </w:pPr>
            <w:r w:rsidRPr="00905DD7">
              <w:t>-</w:t>
            </w:r>
          </w:p>
        </w:tc>
        <w:tc>
          <w:tcPr>
            <w:tcW w:w="972" w:type="dxa"/>
            <w:tcBorders>
              <w:top w:val="single" w:sz="2" w:space="0" w:color="A6A6A6" w:themeColor="background1" w:themeShade="A6"/>
              <w:bottom w:val="single" w:sz="8" w:space="0" w:color="000000"/>
            </w:tcBorders>
            <w:shd w:val="clear" w:color="auto" w:fill="auto"/>
            <w:vAlign w:val="center"/>
          </w:tcPr>
          <w:p w14:paraId="675E966C" w14:textId="77777777" w:rsidR="0087162A" w:rsidRPr="00905DD7" w:rsidRDefault="0087162A" w:rsidP="0087162A">
            <w:pPr>
              <w:pStyle w:val="RSCT03TableBody"/>
              <w:spacing w:line="240" w:lineRule="auto"/>
            </w:pPr>
            <w:r w:rsidRPr="00905DD7">
              <w:t>1:0 (neat G3)</w:t>
            </w:r>
          </w:p>
        </w:tc>
        <w:tc>
          <w:tcPr>
            <w:tcW w:w="1982" w:type="dxa"/>
            <w:tcBorders>
              <w:top w:val="single" w:sz="2" w:space="0" w:color="A6A6A6" w:themeColor="background1" w:themeShade="A6"/>
              <w:bottom w:val="single" w:sz="8" w:space="0" w:color="000000"/>
            </w:tcBorders>
            <w:shd w:val="clear" w:color="auto" w:fill="auto"/>
            <w:vAlign w:val="center"/>
          </w:tcPr>
          <w:p w14:paraId="32BDA62B" w14:textId="77777777" w:rsidR="0087162A" w:rsidRPr="00905DD7" w:rsidRDefault="0087162A" w:rsidP="0087162A">
            <w:pPr>
              <w:pStyle w:val="RSCT03TableBody"/>
              <w:spacing w:line="240" w:lineRule="auto"/>
            </w:pPr>
            <w:r w:rsidRPr="00905DD7">
              <w:t>Colourless liquid</w:t>
            </w:r>
          </w:p>
        </w:tc>
        <w:tc>
          <w:tcPr>
            <w:tcW w:w="835" w:type="dxa"/>
            <w:tcBorders>
              <w:top w:val="single" w:sz="2" w:space="0" w:color="A6A6A6" w:themeColor="background1" w:themeShade="A6"/>
              <w:bottom w:val="single" w:sz="8" w:space="0" w:color="000000"/>
            </w:tcBorders>
            <w:vAlign w:val="center"/>
          </w:tcPr>
          <w:p w14:paraId="309C9FE8" w14:textId="77777777" w:rsidR="0087162A" w:rsidRPr="00905DD7" w:rsidRDefault="0087162A" w:rsidP="0087162A">
            <w:pPr>
              <w:pStyle w:val="RSCT03TableBody"/>
              <w:spacing w:line="240" w:lineRule="auto"/>
            </w:pPr>
            <w:r w:rsidRPr="00905DD7">
              <w:t>9.6</w:t>
            </w:r>
          </w:p>
        </w:tc>
      </w:tr>
    </w:tbl>
    <w:p w14:paraId="4E1DF785" w14:textId="77777777" w:rsidR="00B64559" w:rsidRPr="00905DD7" w:rsidRDefault="00B64559" w:rsidP="00B64559">
      <w:pPr>
        <w:pStyle w:val="RSCT01TableTitlewithtopbar"/>
      </w:pPr>
      <w:r w:rsidRPr="00905DD7">
        <w:rPr>
          <w:b/>
          <w:bCs/>
        </w:rPr>
        <w:t xml:space="preserve">Table </w:t>
      </w:r>
      <w:r w:rsidRPr="00905DD7">
        <w:rPr>
          <w:b/>
          <w:bCs/>
        </w:rPr>
        <w:fldChar w:fldCharType="begin"/>
      </w:r>
      <w:r w:rsidRPr="00905DD7">
        <w:rPr>
          <w:b/>
          <w:bCs/>
        </w:rPr>
        <w:instrText xml:space="preserve"> SEQ Table \* ARABIC </w:instrText>
      </w:r>
      <w:r w:rsidRPr="00905DD7">
        <w:rPr>
          <w:b/>
          <w:bCs/>
        </w:rPr>
        <w:fldChar w:fldCharType="separate"/>
      </w:r>
      <w:r w:rsidRPr="00905DD7">
        <w:rPr>
          <w:b/>
          <w:bCs/>
          <w:noProof/>
        </w:rPr>
        <w:t>1</w:t>
      </w:r>
      <w:r w:rsidRPr="00905DD7">
        <w:rPr>
          <w:b/>
          <w:bCs/>
        </w:rPr>
        <w:fldChar w:fldCharType="end"/>
      </w:r>
      <w:r w:rsidRPr="00905DD7">
        <w:t>. The composition, physical appearance and acceptor number (AN) values measured for the solvate ionic liquids in this study.</w:t>
      </w:r>
    </w:p>
    <w:p w14:paraId="2E68F50B" w14:textId="77777777" w:rsidR="00EA76DD" w:rsidRDefault="00EA76DD" w:rsidP="0087162A">
      <w:pPr>
        <w:pStyle w:val="RSCB02ArticleText"/>
        <w:ind w:firstLine="284"/>
        <w:rPr>
          <w:lang w:val="en-GB"/>
        </w:rPr>
      </w:pPr>
    </w:p>
    <w:p w14:paraId="27054905" w14:textId="6465BF4E" w:rsidR="0087162A" w:rsidRPr="00905DD7" w:rsidRDefault="0087162A" w:rsidP="0087162A">
      <w:pPr>
        <w:pStyle w:val="RSCB02ArticleText"/>
        <w:ind w:firstLine="284"/>
        <w:rPr>
          <w:lang w:val="en-GB"/>
        </w:rPr>
      </w:pPr>
      <w:r w:rsidRPr="00905DD7">
        <w:rPr>
          <w:lang w:val="en-GB"/>
        </w:rPr>
        <w:t xml:space="preserve">In all cases, there were several distinguishable signals, situated within a narrow range of </w:t>
      </w:r>
      <w:r w:rsidRPr="00905DD7">
        <w:rPr>
          <w:i/>
          <w:iCs/>
          <w:lang w:val="en-GB"/>
        </w:rPr>
        <w:t>ca</w:t>
      </w:r>
      <w:r w:rsidRPr="00905DD7">
        <w:rPr>
          <w:lang w:val="en-GB"/>
        </w:rPr>
        <w:t xml:space="preserve">. 8 ppm (Figure </w:t>
      </w:r>
      <w:r w:rsidR="00317B1E">
        <w:rPr>
          <w:lang w:val="en-GB"/>
        </w:rPr>
        <w:t>3</w:t>
      </w:r>
      <w:r w:rsidRPr="00905DD7">
        <w:rPr>
          <w:lang w:val="en-GB"/>
        </w:rPr>
        <w:t xml:space="preserve">). This was in contrast to AN measurements for chlorometallate ionic liquids, characterised by a single </w:t>
      </w:r>
      <w:r w:rsidRPr="00905DD7">
        <w:rPr>
          <w:vertAlign w:val="superscript"/>
          <w:lang w:val="en-GB"/>
        </w:rPr>
        <w:t>31</w:t>
      </w:r>
      <w:r w:rsidRPr="00905DD7">
        <w:rPr>
          <w:lang w:val="en-GB"/>
        </w:rPr>
        <w:t>P NMR signal,</w:t>
      </w:r>
      <w:r w:rsidRPr="00905DD7">
        <w:rPr>
          <w:lang w:val="en-GB"/>
        </w:rPr>
        <w:fldChar w:fldCharType="begin" w:fldLock="1"/>
      </w:r>
      <w:r w:rsidR="0026470D">
        <w:rPr>
          <w:lang w:val="en-GB"/>
        </w:rPr>
        <w:instrText>ADDIN CSL_CITATION {"citationItems":[{"id":"ITEM-1","itemData":{"DOI":"10.1039/c0dt00895h","ISSN":"14779226","abstract":"The Gutmann Acceptor Number (AN), which is a quantitative measure of Lewis acidity, has been estimated using the 31P NMR chemical shift of a probe molecule, triethylphosphine oxide, for a range of chlorometallate(iii) ionic liquids, based on Group 13 metals (aluminium(iii), gallium(iii) and indium(iii)) and the 1-octyl-3-methylimidazolium cation, at different compositions. The results were interpreted in terms of extant speciation studies of chlorometallate(iii) ionic liquids, and compared with a range of standard molecular solvents and acids. The value of these data were illustrated in terms of the selection of appropriate ionic liquids for specific applications. © 2010 The Royal Society of Chemistry.","author":[{"dropping-particle":"","family":"Estager","given":"Julien","non-dropping-particle":"","parse-names":false,"suffix":""},{"dropping-particle":"","family":"Oliferenko","given":"Alexander A.","non-dropping-particle":"","parse-names":false,"suffix":""},{"dropping-particle":"","family":"Seddon","given":"Kenneth R.","non-dropping-particle":"","parse-names":false,"suffix":""},{"dropping-particle":"","family":"Swadźba-Kwaśny","given":"Małgorzata","non-dropping-particle":"","parse-names":false,"suffix":""}],"container-title":"Dalton Transactions","id":"ITEM-1","issue":"47","issued":{"date-parts":[["2010","12","21"]]},"page":"11375-11382","publisher":"The Royal Society of Chemistry","title":"Chlorometallate(iii) ionic liquids as Lewis acidic catalysts - A quantitative study of acceptor properties","type":"article-journal","volume":"39"},"uris":["http://www.mendeley.com/documents/?uuid=4c2b0733-e413-3a66-afc6-1391358ec04a"]}],"mendeley":{"formattedCitation":"&lt;sup&gt;45&lt;/sup&gt;","plainTextFormattedCitation":"45","previouslyFormattedCitation":"&lt;sup&gt;45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45</w:t>
      </w:r>
      <w:r w:rsidRPr="00905DD7">
        <w:rPr>
          <w:lang w:val="en-GB"/>
        </w:rPr>
        <w:fldChar w:fldCharType="end"/>
      </w:r>
      <w:r w:rsidRPr="00905DD7">
        <w:rPr>
          <w:lang w:val="en-GB"/>
        </w:rPr>
        <w:t xml:space="preserve"> but similar to LCCs, in which multiple Lewis acidic complexes (or multiple potential modes of TEPO coordination) are reflected in several </w:t>
      </w:r>
      <w:r w:rsidRPr="00905DD7">
        <w:rPr>
          <w:vertAlign w:val="superscript"/>
          <w:lang w:val="en-GB"/>
        </w:rPr>
        <w:t>31</w:t>
      </w:r>
      <w:r w:rsidRPr="00905DD7">
        <w:rPr>
          <w:lang w:val="en-GB"/>
        </w:rPr>
        <w:t>P NMR signals in AN measurements.</w:t>
      </w:r>
      <w:r w:rsidRPr="00905DD7">
        <w:rPr>
          <w:lang w:val="en-GB"/>
        </w:rPr>
        <w:fldChar w:fldCharType="begin" w:fldLock="1"/>
      </w:r>
      <w:r w:rsidRPr="00905DD7">
        <w:rPr>
          <w:lang w:val="en-GB"/>
        </w:rPr>
        <w:instrText>ADDIN CSL_CITATION {"citationItems":[{"id":"ITEM-1","itemData":{"DOI":"10.1002/anie.201306267","ISSN":"14337851","PMID":"24127224","abstract":"Confused complexes: Reaction of a range of donor molecules with AlCl 3 or GaCl3, gives mobile liquids with very high metal contents. They contain statistically distributed mixtures of anionic, cationic, and neutral complexes in equilibrium. These liquid coordination complexes (LCCs), have high conductivity, tunable Lewis acidity, and low vapor pressure. Copyright © 2013 WILEY-VCH Verlag GmbH &amp; Co. KGaA, Weinheim.","author":[{"dropping-particle":"","family":"Coleman","given":"Fergal","non-dropping-particle":"","parse-names":false,"suffix":""},{"dropping-particle":"","family":"Srinivasan","given":"Geetha","non-dropping-particle":"","parse-names":false,"suffix":""},{"dropping-particle":"","family":"Swadźba-Kwaśny","given":"Małgorzata","non-dropping-particle":"","parse-names":false,"suffix":""}],"container-title":"Angewandte Chemie - International Edition","id":"ITEM-1","issue":"48","issued":{"date-parts":[["2013","11","25"]]},"page":"12582-12586","publisher":"John Wiley &amp; Sons, Ltd","title":"Liquid coordination complexes formed by the heterolytic cleavage of metal halides","type":"article-journal","volume":"52"},"uris":["http://www.mendeley.com/documents/?uuid=7733e068-7906-48e9-aafb-a91f8ae41491"]}],"mendeley":{"formattedCitation":"&lt;sup&gt;3&lt;/sup&gt;","plainTextFormattedCitation":"3","previouslyFormattedCitation":"&lt;sup&gt;3&lt;/sup&gt;"},"properties":{"noteIndex":0},"schema":"https://github.com/citation-style-language/schema/raw/master/csl-citation.json"}</w:instrText>
      </w:r>
      <w:r w:rsidRPr="00905DD7">
        <w:rPr>
          <w:lang w:val="en-GB"/>
        </w:rPr>
        <w:fldChar w:fldCharType="separate"/>
      </w:r>
      <w:r w:rsidRPr="00905DD7">
        <w:rPr>
          <w:noProof/>
          <w:vertAlign w:val="superscript"/>
          <w:lang w:val="en-GB"/>
        </w:rPr>
        <w:t>3</w:t>
      </w:r>
      <w:r w:rsidRPr="00905DD7">
        <w:rPr>
          <w:lang w:val="en-GB"/>
        </w:rPr>
        <w:fldChar w:fldCharType="end"/>
      </w:r>
      <w:r w:rsidRPr="00905DD7">
        <w:rPr>
          <w:lang w:val="en-GB"/>
        </w:rPr>
        <w:t xml:space="preserve"> In all cases, the pattern of signals was the same. There were three high-intensity signals: two relatively sharp and </w:t>
      </w:r>
      <w:proofErr w:type="spellStart"/>
      <w:r w:rsidRPr="00905DD7">
        <w:rPr>
          <w:lang w:val="en-GB"/>
        </w:rPr>
        <w:t>deshielded</w:t>
      </w:r>
      <w:proofErr w:type="spellEnd"/>
      <w:r w:rsidRPr="00905DD7">
        <w:rPr>
          <w:lang w:val="en-GB"/>
        </w:rPr>
        <w:t xml:space="preserve"> peaks, and one broader </w:t>
      </w:r>
      <w:r w:rsidRPr="00905DD7">
        <w:rPr>
          <w:lang w:val="en-GB"/>
        </w:rPr>
        <w:lastRenderedPageBreak/>
        <w:t xml:space="preserve">signal shifted </w:t>
      </w:r>
      <w:proofErr w:type="spellStart"/>
      <w:r w:rsidRPr="00905DD7">
        <w:rPr>
          <w:lang w:val="en-GB"/>
        </w:rPr>
        <w:t>upfield</w:t>
      </w:r>
      <w:proofErr w:type="spellEnd"/>
      <w:r w:rsidRPr="00905DD7">
        <w:rPr>
          <w:lang w:val="en-GB"/>
        </w:rPr>
        <w:t xml:space="preserve"> by </w:t>
      </w:r>
      <w:r w:rsidRPr="00905DD7">
        <w:rPr>
          <w:i/>
          <w:iCs/>
          <w:lang w:val="en-GB"/>
        </w:rPr>
        <w:t>ca</w:t>
      </w:r>
      <w:r w:rsidRPr="00905DD7">
        <w:rPr>
          <w:lang w:val="en-GB"/>
        </w:rPr>
        <w:t xml:space="preserve">. 5 ppm, in addition to at least two low intensity peaks. This suggests the existence of several Lewis acidic species capable of interacting with TEPO. </w:t>
      </w:r>
      <w:r>
        <w:rPr>
          <w:lang w:val="en-GB"/>
        </w:rPr>
        <w:t>T</w:t>
      </w:r>
      <w:r w:rsidRPr="00905DD7">
        <w:rPr>
          <w:lang w:val="en-GB"/>
        </w:rPr>
        <w:t>he pattern of</w:t>
      </w:r>
      <w:r>
        <w:rPr>
          <w:lang w:val="en-GB"/>
        </w:rPr>
        <w:t xml:space="preserve"> the</w:t>
      </w:r>
      <w:r w:rsidRPr="00905DD7">
        <w:rPr>
          <w:lang w:val="en-GB"/>
        </w:rPr>
        <w:t xml:space="preserve"> </w:t>
      </w:r>
      <w:r w:rsidRPr="00905DD7">
        <w:rPr>
          <w:vertAlign w:val="superscript"/>
          <w:lang w:val="en-GB"/>
        </w:rPr>
        <w:t>31</w:t>
      </w:r>
      <w:r w:rsidRPr="00905DD7">
        <w:rPr>
          <w:lang w:val="en-GB"/>
        </w:rPr>
        <w:t xml:space="preserve">P NMR signals </w:t>
      </w:r>
      <w:r>
        <w:rPr>
          <w:lang w:val="en-GB"/>
        </w:rPr>
        <w:t xml:space="preserve">was broadly the same for Ga-SILs and Al-SILs, but signals for </w:t>
      </w:r>
      <w:r w:rsidRPr="00905DD7">
        <w:rPr>
          <w:lang w:val="en-GB"/>
        </w:rPr>
        <w:t xml:space="preserve">Ga-SILs </w:t>
      </w:r>
      <w:r>
        <w:rPr>
          <w:lang w:val="en-GB"/>
        </w:rPr>
        <w:t>were</w:t>
      </w:r>
      <w:r w:rsidRPr="00905DD7">
        <w:rPr>
          <w:lang w:val="en-GB"/>
        </w:rPr>
        <w:t xml:space="preserve"> </w:t>
      </w:r>
      <w:proofErr w:type="spellStart"/>
      <w:r w:rsidRPr="00905DD7">
        <w:rPr>
          <w:lang w:val="en-GB"/>
        </w:rPr>
        <w:t>deshielded</w:t>
      </w:r>
      <w:proofErr w:type="spellEnd"/>
      <w:r w:rsidRPr="00905DD7">
        <w:rPr>
          <w:lang w:val="en-GB"/>
        </w:rPr>
        <w:t xml:space="preserve"> </w:t>
      </w:r>
      <w:r>
        <w:rPr>
          <w:lang w:val="en-GB"/>
        </w:rPr>
        <w:t xml:space="preserve">by </w:t>
      </w:r>
      <w:r w:rsidRPr="00090826">
        <w:rPr>
          <w:i/>
          <w:iCs/>
          <w:lang w:val="en-GB"/>
        </w:rPr>
        <w:t>ca</w:t>
      </w:r>
      <w:r>
        <w:rPr>
          <w:lang w:val="en-GB"/>
        </w:rPr>
        <w:t xml:space="preserve">. 5 ppm </w:t>
      </w:r>
      <w:r w:rsidRPr="00905DD7">
        <w:rPr>
          <w:lang w:val="en-GB"/>
        </w:rPr>
        <w:t xml:space="preserve">with respect to </w:t>
      </w:r>
      <w:r>
        <w:rPr>
          <w:lang w:val="en-GB"/>
        </w:rPr>
        <w:t xml:space="preserve">those for </w:t>
      </w:r>
      <w:r w:rsidRPr="00905DD7">
        <w:rPr>
          <w:lang w:val="en-GB"/>
        </w:rPr>
        <w:t>Al</w:t>
      </w:r>
      <w:r w:rsidRPr="00905DD7">
        <w:rPr>
          <w:lang w:val="en-GB"/>
        </w:rPr>
        <w:noBreakHyphen/>
        <w:t>SILs, indicating</w:t>
      </w:r>
      <w:r>
        <w:rPr>
          <w:lang w:val="en-GB"/>
        </w:rPr>
        <w:t xml:space="preserve"> a</w:t>
      </w:r>
      <w:r w:rsidRPr="00905DD7">
        <w:rPr>
          <w:lang w:val="en-GB"/>
        </w:rPr>
        <w:t xml:space="preserve"> stronger interaction of TEPO</w:t>
      </w:r>
      <w:r>
        <w:rPr>
          <w:lang w:val="en-GB"/>
        </w:rPr>
        <w:t xml:space="preserve"> (higher Lewis acidity) of Ga-SILs</w:t>
      </w:r>
      <w:r w:rsidRPr="00905DD7">
        <w:rPr>
          <w:lang w:val="en-GB"/>
        </w:rPr>
        <w:t xml:space="preserve">. </w:t>
      </w:r>
      <w:r w:rsidRPr="00905DD7">
        <w:rPr>
          <w:b/>
          <w:bCs/>
          <w:lang w:val="en-GB"/>
        </w:rPr>
        <w:t xml:space="preserve">  </w:t>
      </w:r>
    </w:p>
    <w:p w14:paraId="0B483AB0" w14:textId="5E82E7C6" w:rsidR="00B64559" w:rsidRPr="00905DD7" w:rsidRDefault="0087162A" w:rsidP="007308C9">
      <w:pPr>
        <w:pStyle w:val="RSCB02ArticleText"/>
        <w:ind w:firstLine="284"/>
        <w:rPr>
          <w:lang w:val="en-GB"/>
        </w:rPr>
      </w:pPr>
      <w:r w:rsidRPr="00905DD7">
        <w:rPr>
          <w:lang w:val="en-GB"/>
        </w:rPr>
        <w:t xml:space="preserve">For the purpose of numerical quantification of Lewis acidity, instead of single AN values, a range of values were reported for each ionic liquid: </w:t>
      </w:r>
      <w:proofErr w:type="spellStart"/>
      <w:r w:rsidRPr="00905DD7">
        <w:rPr>
          <w:lang w:val="en-GB"/>
        </w:rPr>
        <w:t>AN</w:t>
      </w:r>
      <w:r w:rsidRPr="00905DD7">
        <w:rPr>
          <w:vertAlign w:val="subscript"/>
          <w:lang w:val="en-GB"/>
        </w:rPr>
        <w:t>Al</w:t>
      </w:r>
      <w:proofErr w:type="spellEnd"/>
      <w:r w:rsidRPr="00905DD7">
        <w:rPr>
          <w:vertAlign w:val="subscript"/>
          <w:lang w:val="en-GB"/>
        </w:rPr>
        <w:t>-SILs</w:t>
      </w:r>
      <w:r w:rsidRPr="00905DD7">
        <w:rPr>
          <w:lang w:val="en-GB"/>
        </w:rPr>
        <w:t xml:space="preserve"> = 70.7-82.7; AN</w:t>
      </w:r>
      <w:r w:rsidRPr="00905DD7">
        <w:rPr>
          <w:vertAlign w:val="subscript"/>
          <w:lang w:val="en-GB"/>
        </w:rPr>
        <w:t>Ga-SILs</w:t>
      </w:r>
      <w:r w:rsidRPr="00905DD7">
        <w:rPr>
          <w:lang w:val="en-GB"/>
        </w:rPr>
        <w:t xml:space="preserve"> = 79.6-93.5 (Table 1). Comparing these results with the literature, Lewis acidity of Al-SILs, </w:t>
      </w:r>
      <w:r w:rsidRPr="00905DD7">
        <w:rPr>
          <w:i/>
          <w:iCs/>
          <w:lang w:val="en-GB"/>
        </w:rPr>
        <w:t>χ</w:t>
      </w:r>
      <w:r w:rsidRPr="00905DD7">
        <w:rPr>
          <w:vertAlign w:val="subscript"/>
          <w:lang w:val="en-GB"/>
        </w:rPr>
        <w:t>Al(</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w:t>
      </w:r>
      <w:r w:rsidRPr="00905DD7">
        <w:rPr>
          <w:vertAlign w:val="subscript"/>
          <w:lang w:val="en-GB"/>
        </w:rPr>
        <w:t xml:space="preserve"> </w:t>
      </w:r>
      <w:r w:rsidRPr="00905DD7">
        <w:rPr>
          <w:lang w:val="en-GB"/>
        </w:rPr>
        <w:t xml:space="preserve">0.33 and 0.25 (AN = 70.8-82.7) was higher than that of 1-octyl-3-methylimidazolium </w:t>
      </w:r>
      <w:proofErr w:type="spellStart"/>
      <w:r w:rsidRPr="00905DD7">
        <w:rPr>
          <w:lang w:val="en-GB"/>
        </w:rPr>
        <w:t>trifloaluminate</w:t>
      </w:r>
      <w:proofErr w:type="spellEnd"/>
      <w:r w:rsidRPr="00905DD7">
        <w:rPr>
          <w:lang w:val="en-GB"/>
        </w:rPr>
        <w:t xml:space="preserve"> ionic liquids, [C</w:t>
      </w:r>
      <w:r w:rsidRPr="00905DD7">
        <w:rPr>
          <w:vertAlign w:val="subscript"/>
          <w:lang w:val="en-GB"/>
        </w:rPr>
        <w:t>8</w:t>
      </w:r>
      <w:r w:rsidRPr="00905DD7">
        <w:rPr>
          <w:lang w:val="en-GB"/>
        </w:rPr>
        <w:t>mim][</w:t>
      </w:r>
      <w:proofErr w:type="spellStart"/>
      <w:r w:rsidRPr="00905DD7">
        <w:rPr>
          <w:lang w:val="en-GB"/>
        </w:rPr>
        <w:t>OTf</w:t>
      </w:r>
      <w:proofErr w:type="spellEnd"/>
      <w:r w:rsidRPr="00905DD7">
        <w:rPr>
          <w:lang w:val="en-GB"/>
        </w:rPr>
        <w:t>]-Al(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with the same molar ratio of aluminium triflate, </w:t>
      </w:r>
      <w:r w:rsidRPr="00905DD7">
        <w:rPr>
          <w:i/>
          <w:iCs/>
          <w:lang w:val="en-GB"/>
        </w:rPr>
        <w:t>χ</w:t>
      </w:r>
      <w:r w:rsidRPr="00905DD7">
        <w:rPr>
          <w:vertAlign w:val="subscript"/>
          <w:lang w:val="en-GB"/>
        </w:rPr>
        <w:t>Al(</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0.33 and 0.25 (AN = 64.9-69.3),</w:t>
      </w:r>
      <w:r w:rsidRPr="00905DD7">
        <w:rPr>
          <w:lang w:val="en-GB"/>
        </w:rPr>
        <w:fldChar w:fldCharType="begin" w:fldLock="1"/>
      </w:r>
      <w:r w:rsidR="0026470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12&lt;/sup&gt;","plainTextFormattedCitation":"12","previouslyFormattedCitation":"&lt;sup&gt;12&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12</w:t>
      </w:r>
      <w:r w:rsidRPr="00905DD7">
        <w:rPr>
          <w:lang w:val="en-GB"/>
        </w:rPr>
        <w:fldChar w:fldCharType="end"/>
      </w:r>
      <w:r w:rsidRPr="00905DD7">
        <w:rPr>
          <w:lang w:val="en-GB"/>
        </w:rPr>
        <w:t xml:space="preserve"> but lower than AN values of archetypal chloroaluminate ionic liquids (AN = 83.3-101.9),</w:t>
      </w:r>
      <w:r w:rsidRPr="00905DD7">
        <w:rPr>
          <w:lang w:val="en-GB"/>
        </w:rPr>
        <w:fldChar w:fldCharType="begin" w:fldLock="1"/>
      </w:r>
      <w:r w:rsidR="0026470D">
        <w:rPr>
          <w:lang w:val="en-GB"/>
        </w:rPr>
        <w:instrText>ADDIN CSL_CITATION {"citationItems":[{"id":"ITEM-1","itemData":{"DOI":"10.1039/c0dt00895h","ISSN":"14779226","abstract":"The Gutmann Acceptor Number (AN), which is a quantitative measure of Lewis acidity, has been estimated using the 31P NMR chemical shift of a probe molecule, triethylphosphine oxide, for a range of chlorometallate(iii) ionic liquids, based on Group 13 metals (aluminium(iii), gallium(iii) and indium(iii)) and the 1-octyl-3-methylimidazolium cation, at different compositions. The results were interpreted in terms of extant speciation studies of chlorometallate(iii) ionic liquids, and compared with a range of standard molecular solvents and acids. The value of these data were illustrated in terms of the selection of appropriate ionic liquids for specific applications. © 2010 The Royal Society of Chemistry.","author":[{"dropping-particle":"","family":"Estager","given":"Julien","non-dropping-particle":"","parse-names":false,"suffix":""},{"dropping-particle":"","family":"Oliferenko","given":"Alexander A.","non-dropping-particle":"","parse-names":false,"suffix":""},{"dropping-particle":"","family":"Seddon","given":"Kenneth R.","non-dropping-particle":"","parse-names":false,"suffix":""},{"dropping-particle":"","family":"Swadźba-Kwaśny","given":"Małgorzata","non-dropping-particle":"","parse-names":false,"suffix":""}],"container-title":"Dalton Transactions","id":"ITEM-1","issue":"47","issued":{"date-parts":[["2010","12","21"]]},"page":"11375-11382","publisher":"The Royal Society of Chemistry","title":"Chlorometallate(iii) ionic liquids as Lewis acidic catalysts - A quantitative study of acceptor properties","type":"article-journal","volume":"39"},"uris":["http://www.mendeley.com/documents/?uuid=4c2b0733-e413-3a66-afc6-1391358ec04a"]},{"id":"ITEM-2","itemData":{"DOI":"10.1039/c7dt02408h","ISSN":"14779234","PMID":"28766628","abstract":"Coordination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Transactions","id":"ITEM-2","issue":"35","issued":{"date-parts":[["2017"]]},"page":"11561-11574","publisher":"Royal Society of Chemistry","title":"Liquid coordination complexes of Lewis acidic metal chlorides: Lewis acidity and insights into speciation","type":"article-journal","volume":"46"},"uris":["http://www.mendeley.com/documents/?uuid=7f817de9-86ff-485a-b63a-5768687629d9"]},{"id":"ITEM-3","itemData":{"DOI":"10.1016/j.molstruc.2020.128936","ISSN":"00222860","abstract":"Chloroaluminate ionic liquids (ILs) have been immensely used as homogeneous catalyst in Friedel-Crafts reaction. We have recently synthesized chloroaluminate ILs by reacting aluminium chloride with a hydrophobic neutral ligand i.e. tributylamine (TBA:AlCl3). The current study elaborates on the investigations of the composition of the ionic liquids at various stages of their formation. The ionic liquids were synthesized using various mole ratios of tributyl amine and aluminium chloride in range of 1:1 to 1:2.3, in presence of an aromatic solvent in a one pot reaction. Various characterization techniques like Mass spectrometry, 27Al Nuclear Magnetic Resonance, 31P Nuclear Magnetic Resonance and Fourier Transform Infrared spectroscopy were used to elucidate the formation of various moieties of the TBA:AlCl3 Ionic Liquid. This study also elaborates on the investigations of the cationic and anionic moieties and their structure-property relationship for various applications. Various Friedel-Crafts reaction of industrial importance were performed using the ionic liquid having (Al2Cl7)−moiety to assess its performance and compared with conventional processes. The synthesized products were characterised by sophisticated analytical techniques like 1H NMR, 13C NMR, FTIR, GC–MS, GC-FID, to name a few. This class of ionic liquids also have importance in various electrochemical applications like aluminium deposition and aluminium batteries.","author":[{"dropping-particle":"","family":"Sakhalkar","given":"Mangesh","non-dropping-particle":"","parse-names":false,"suffix":""},{"dropping-particle":"","family":"Choudhury","given":"Rudra Prosad","non-dropping-particle":"","parse-names":false,"suffix":""},{"dropping-particle":"","family":"Bhakthavatsalam","given":"Vishnupriya","non-dropping-particle":"","parse-names":false,"suffix":""},{"dropping-particle":"V.","family":"Lande","given":"Sharad","non-dropping-particle":"","parse-names":false,"suffix":""},{"dropping-particle":"","family":"Pradhan","given":"Jeevan","non-dropping-particle":"","parse-names":false,"suffix":""},{"dropping-particle":"","family":"Chandra","given":"Sudeshna","non-dropping-particle":"","parse-names":false,"suffix":""}],"container-title":"Journal of Molecular Structure","id":"ITEM-3","issued":{"date-parts":[["2020","12","15"]]},"page":"128936","publisher":"Elsevier","title":"Deep compositional understanding of TBA: AlCl3 ionic liquid for its applications","type":"article-journal","volume":"1222"},"uris":["http://www.mendeley.com/documents/?uuid=56c70f01-fbc4-31e0-935f-e018be9dd04d"]}],"mendeley":{"formattedCitation":"&lt;sup&gt;4,45,47&lt;/sup&gt;","plainTextFormattedCitation":"4,45,47","previouslyFormattedCitation":"&lt;sup&gt;4,45,47&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4,45,47</w:t>
      </w:r>
      <w:r w:rsidRPr="00905DD7">
        <w:rPr>
          <w:lang w:val="en-GB"/>
        </w:rPr>
        <w:fldChar w:fldCharType="end"/>
      </w:r>
      <w:r w:rsidRPr="00905DD7">
        <w:rPr>
          <w:lang w:val="en-GB"/>
        </w:rPr>
        <w:t xml:space="preserve"> or AlCl</w:t>
      </w:r>
      <w:r w:rsidRPr="00905DD7">
        <w:rPr>
          <w:vertAlign w:val="subscript"/>
          <w:lang w:val="en-GB"/>
        </w:rPr>
        <w:t>3</w:t>
      </w:r>
      <w:r w:rsidRPr="00905DD7">
        <w:rPr>
          <w:lang w:val="en-GB"/>
        </w:rPr>
        <w:t xml:space="preserve"> (AN = 85.6-87.0).</w:t>
      </w:r>
      <w:r w:rsidRPr="00905DD7">
        <w:rPr>
          <w:lang w:val="en-GB"/>
        </w:rPr>
        <w:fldChar w:fldCharType="begin" w:fldLock="1"/>
      </w:r>
      <w:r w:rsidRPr="00905DD7">
        <w:rPr>
          <w:lang w:val="en-GB"/>
        </w:rPr>
        <w:instrText>ADDIN CSL_CITATION {"citationItems":[{"id":"ITEM-1","itemData":{"DOI":"10.1039/c7dt02408h","ISSN":"14779234","PMID":"28766628","abstract":"Coordination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Transactions","id":"ITEM-1","issue":"35","issued":{"date-parts":[["2017"]]},"page":"11561-11574","publisher":"Royal Society of Chemistry","title":"Liquid coordination complexes of Lewis acidic metal chlorides: Lewis acidity and insights into speciation","type":"article-journal","volume":"46"},"uris":["http://www.mendeley.com/documents/?uuid=7f817de9-86ff-485a-b63a-5768687629d9"]}],"mendeley":{"formattedCitation":"&lt;sup&gt;4&lt;/sup&gt;","plainTextFormattedCitation":"4","previouslyFormattedCitation":"&lt;sup&gt;4&lt;/sup&gt;"},"properties":{"noteIndex":0},"schema":"https://github.com/citation-style-language/schema/raw/master/csl-citation.json"}</w:instrText>
      </w:r>
      <w:r w:rsidRPr="00905DD7">
        <w:rPr>
          <w:lang w:val="en-GB"/>
        </w:rPr>
        <w:fldChar w:fldCharType="separate"/>
      </w:r>
      <w:r w:rsidRPr="00905DD7">
        <w:rPr>
          <w:noProof/>
          <w:vertAlign w:val="superscript"/>
          <w:lang w:val="en-GB"/>
        </w:rPr>
        <w:t>4</w:t>
      </w:r>
      <w:r w:rsidRPr="00905DD7">
        <w:rPr>
          <w:lang w:val="en-GB"/>
        </w:rPr>
        <w:fldChar w:fldCharType="end"/>
      </w:r>
      <w:r w:rsidRPr="00905DD7">
        <w:rPr>
          <w:lang w:val="en-GB"/>
        </w:rPr>
        <w:t xml:space="preserve"> Lewis acidity of Ga-SILs (AN = 79.6-93.5) was higher than that of Al-SILs, approaching Lewis acidity of chlorogallate ionic liquids [C</w:t>
      </w:r>
      <w:r w:rsidRPr="00905DD7">
        <w:rPr>
          <w:vertAlign w:val="subscript"/>
          <w:lang w:val="en-GB"/>
        </w:rPr>
        <w:t>8</w:t>
      </w:r>
      <w:r w:rsidRPr="00905DD7">
        <w:rPr>
          <w:lang w:val="en-GB"/>
        </w:rPr>
        <w:t>mim]Cl-GaCl</w:t>
      </w:r>
      <w:r w:rsidRPr="00905DD7">
        <w:rPr>
          <w:vertAlign w:val="subscript"/>
          <w:lang w:val="en-GB"/>
        </w:rPr>
        <w:t>3</w:t>
      </w:r>
      <w:r w:rsidRPr="00905DD7">
        <w:rPr>
          <w:lang w:val="en-GB"/>
        </w:rPr>
        <w:t xml:space="preserve"> with excess of gallium chloride, </w:t>
      </w:r>
      <w:r w:rsidRPr="00905DD7">
        <w:rPr>
          <w:i/>
          <w:iCs/>
          <w:lang w:val="en-GB"/>
        </w:rPr>
        <w:t>χ</w:t>
      </w:r>
      <w:r w:rsidRPr="00905DD7">
        <w:rPr>
          <w:vertAlign w:val="subscript"/>
          <w:lang w:val="en-GB"/>
        </w:rPr>
        <w:t>GaCl3</w:t>
      </w:r>
      <w:r w:rsidRPr="00905DD7">
        <w:rPr>
          <w:lang w:val="en-GB"/>
        </w:rPr>
        <w:t xml:space="preserve"> &gt; 0.5 (AN = 87.7-107.3).</w:t>
      </w:r>
      <w:r w:rsidRPr="00905DD7">
        <w:rPr>
          <w:lang w:val="en-GB"/>
        </w:rPr>
        <w:fldChar w:fldCharType="begin" w:fldLock="1"/>
      </w:r>
      <w:r w:rsidRPr="00905DD7">
        <w:rPr>
          <w:lang w:val="en-GB"/>
        </w:rPr>
        <w:instrText>ADDIN CSL_CITATION {"citationItems":[{"id":"ITEM-1","itemData":{"DOI":"10.1039/c7dt02408h","ISSN":"14779234","PMID":"28766628","abstract":"Coordination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Transactions","id":"ITEM-1","issue":"35","issued":{"date-parts":[["2017"]]},"page":"11561-11574","publisher":"Royal Society of Chemistry","title":"Liquid coordination complexes of Lewis acidic metal chlorides: Lewis acidity and insights into speciation","type":"article-journal","volume":"46"},"uris":["http://www.mendeley.com/documents/?uuid=7f817de9-86ff-485a-b63a-5768687629d9"]}],"mendeley":{"formattedCitation":"&lt;sup&gt;4&lt;/sup&gt;","plainTextFormattedCitation":"4","previouslyFormattedCitation":"&lt;sup&gt;4&lt;/sup&gt;"},"properties":{"noteIndex":0},"schema":"https://github.com/citation-style-language/schema/raw/master/csl-citation.json"}</w:instrText>
      </w:r>
      <w:r w:rsidRPr="00905DD7">
        <w:rPr>
          <w:lang w:val="en-GB"/>
        </w:rPr>
        <w:fldChar w:fldCharType="separate"/>
      </w:r>
      <w:r w:rsidRPr="00905DD7">
        <w:rPr>
          <w:noProof/>
          <w:vertAlign w:val="superscript"/>
          <w:lang w:val="en-GB"/>
        </w:rPr>
        <w:t>4</w:t>
      </w:r>
      <w:r w:rsidRPr="00905DD7">
        <w:rPr>
          <w:lang w:val="en-GB"/>
        </w:rPr>
        <w:fldChar w:fldCharType="end"/>
      </w:r>
      <w:r w:rsidRPr="00905DD7">
        <w:rPr>
          <w:lang w:val="en-GB"/>
        </w:rPr>
        <w:t xml:space="preserve"> Chlorogallate ionic liquids with sub</w:t>
      </w:r>
      <w:r w:rsidRPr="00905DD7">
        <w:rPr>
          <w:lang w:val="en-GB"/>
        </w:rPr>
        <w:noBreakHyphen/>
        <w:t>stoichiometric loading of gallium chloride (</w:t>
      </w:r>
      <w:r w:rsidRPr="00905DD7">
        <w:rPr>
          <w:i/>
          <w:iCs/>
          <w:lang w:val="en-GB"/>
        </w:rPr>
        <w:t>χ</w:t>
      </w:r>
      <w:r w:rsidRPr="00905DD7">
        <w:rPr>
          <w:vertAlign w:val="subscript"/>
          <w:lang w:val="en-GB"/>
        </w:rPr>
        <w:t xml:space="preserve">GaCl3 </w:t>
      </w:r>
      <w:r w:rsidRPr="00905DD7">
        <w:rPr>
          <w:lang w:val="en-GB"/>
        </w:rPr>
        <w:t>= 0.33) were only mildly acidic, with AN = 21.7.</w:t>
      </w:r>
      <w:r w:rsidRPr="00905DD7">
        <w:rPr>
          <w:lang w:val="en-GB"/>
        </w:rPr>
        <w:fldChar w:fldCharType="begin" w:fldLock="1"/>
      </w:r>
      <w:r w:rsidR="0026470D">
        <w:rPr>
          <w:lang w:val="en-GB"/>
        </w:rPr>
        <w:instrText>ADDIN CSL_CITATION {"citationItems":[{"id":"ITEM-1","itemData":{"DOI":"10.1039/c0dt00895h","ISSN":"14779226","abstract":"The Gutmann Acceptor Number (AN), which is a quantitative measure of Lewis acidity, has been estimated using the 31P NMR chemical shift of a probe molecule, triethylphosphine oxide, for a range of chlorometallate(iii) ionic liquids, based on Group 13 metals (aluminium(iii), gallium(iii) and indium(iii)) and the 1-octyl-3-methylimidazolium cation, at different compositions. The results were interpreted in terms of extant speciation studies of chlorometallate(iii) ionic liquids, and compared with a range of standard molecular solvents and acids. The value of these data were illustrated in terms of the selection of appropriate ionic liquids for specific applications. © 2010 The Royal Society of Chemistry.","author":[{"dropping-particle":"","family":"Estager","given":"Julien","non-dropping-particle":"","parse-names":false,"suffix":""},{"dropping-particle":"","family":"Oliferenko","given":"Alexander A.","non-dropping-particle":"","parse-names":false,"suffix":""},{"dropping-particle":"","family":"Seddon","given":"Kenneth R.","non-dropping-particle":"","parse-names":false,"suffix":""},{"dropping-particle":"","family":"Swadźba-Kwaśny","given":"Małgorzata","non-dropping-particle":"","parse-names":false,"suffix":""}],"container-title":"Dalton Transactions","id":"ITEM-1","issue":"47","issued":{"date-parts":[["2010","12","21"]]},"page":"11375-11382","publisher":"The Royal Society of Chemistry","title":"Chlorometallate(iii) ionic liquids as Lewis acidic catalysts - A quantitative study of acceptor properties","type":"article-journal","volume":"39"},"uris":["http://www.mendeley.com/documents/?uuid=4c2b0733-e413-3a66-afc6-1391358ec04a"]}],"mendeley":{"formattedCitation":"&lt;sup&gt;45&lt;/sup&gt;","plainTextFormattedCitation":"45","previouslyFormattedCitation":"&lt;sup&gt;45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45</w:t>
      </w:r>
      <w:r w:rsidRPr="00905DD7">
        <w:rPr>
          <w:lang w:val="en-GB"/>
        </w:rPr>
        <w:fldChar w:fldCharType="end"/>
      </w:r>
    </w:p>
    <w:p w14:paraId="23DC1AA6" w14:textId="77777777" w:rsidR="007859C5" w:rsidRPr="00905DD7" w:rsidRDefault="007859C5" w:rsidP="00ED61EB">
      <w:pPr>
        <w:pStyle w:val="RSCI02FigureSchemeChartwithtopbar"/>
      </w:pPr>
      <w:r w:rsidRPr="00905DD7">
        <w:rPr>
          <w:noProof/>
        </w:rPr>
        <w:drawing>
          <wp:inline distT="0" distB="0" distL="0" distR="0" wp14:anchorId="66EC9109" wp14:editId="75E99A21">
            <wp:extent cx="2988000" cy="2071057"/>
            <wp:effectExtent l="0" t="0" r="3175" b="5715"/>
            <wp:docPr id="36808416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084168" name="Obraz 36808416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88000" cy="2071057"/>
                    </a:xfrm>
                    <a:prstGeom prst="rect">
                      <a:avLst/>
                    </a:prstGeom>
                  </pic:spPr>
                </pic:pic>
              </a:graphicData>
            </a:graphic>
          </wp:inline>
        </w:drawing>
      </w:r>
    </w:p>
    <w:p w14:paraId="1C1813A1" w14:textId="602FD9B6" w:rsidR="007859C5" w:rsidRPr="00B64559" w:rsidRDefault="007859C5" w:rsidP="00ED61EB">
      <w:pPr>
        <w:pStyle w:val="RSCI05CaptiontoFigureSchemeChartwithbottombar"/>
        <w:rPr>
          <w:w w:val="108"/>
        </w:rPr>
      </w:pPr>
      <w:r w:rsidRPr="00905DD7">
        <w:rPr>
          <w:b/>
          <w:w w:val="108"/>
        </w:rPr>
        <w:t xml:space="preserve">Figure </w:t>
      </w:r>
      <w:r w:rsidR="00093EF0">
        <w:rPr>
          <w:b/>
          <w:w w:val="108"/>
        </w:rPr>
        <w:t>3</w:t>
      </w:r>
      <w:r w:rsidRPr="00905DD7">
        <w:rPr>
          <w:b/>
          <w:w w:val="108"/>
        </w:rPr>
        <w:t>.</w:t>
      </w:r>
      <w:r w:rsidRPr="00905DD7">
        <w:rPr>
          <w:w w:val="108"/>
        </w:rPr>
        <w:t xml:space="preserve"> </w:t>
      </w:r>
      <w:r w:rsidRPr="00905DD7">
        <w:rPr>
          <w:w w:val="108"/>
          <w:vertAlign w:val="superscript"/>
        </w:rPr>
        <w:t>31</w:t>
      </w:r>
      <w:r w:rsidRPr="00905DD7">
        <w:rPr>
          <w:w w:val="108"/>
        </w:rPr>
        <w:t xml:space="preserve">P NMR comparison Al-SILs and Ga-SILs, studied across three compositions: </w:t>
      </w:r>
      <w:r w:rsidRPr="00905DD7">
        <w:rPr>
          <w:rFonts w:ascii="Symbol" w:hAnsi="Symbol"/>
          <w:i/>
          <w:iCs/>
        </w:rPr>
        <w:t>c</w:t>
      </w:r>
      <w:r w:rsidRPr="00905DD7">
        <w:rPr>
          <w:w w:val="108"/>
          <w:vertAlign w:val="subscript"/>
        </w:rPr>
        <w:t>M(</w:t>
      </w:r>
      <w:proofErr w:type="spellStart"/>
      <w:r w:rsidRPr="00905DD7">
        <w:rPr>
          <w:w w:val="108"/>
          <w:vertAlign w:val="subscript"/>
        </w:rPr>
        <w:t>OTf</w:t>
      </w:r>
      <w:proofErr w:type="spellEnd"/>
      <w:r w:rsidRPr="00905DD7">
        <w:rPr>
          <w:w w:val="108"/>
          <w:vertAlign w:val="subscript"/>
        </w:rPr>
        <w:t>)3</w:t>
      </w:r>
      <w:r w:rsidRPr="00905DD7">
        <w:rPr>
          <w:w w:val="108"/>
        </w:rPr>
        <w:t xml:space="preserve"> = 0.33, 0.25 and 0.09.  </w:t>
      </w:r>
    </w:p>
    <w:p w14:paraId="4AFA68E6" w14:textId="18394592" w:rsidR="00F63B45" w:rsidRDefault="00F63B45" w:rsidP="00ED61EB">
      <w:pPr>
        <w:pStyle w:val="RSCB02ArticleText"/>
        <w:ind w:firstLine="284"/>
        <w:rPr>
          <w:lang w:val="en-GB"/>
        </w:rPr>
      </w:pPr>
      <w:r w:rsidRPr="00905DD7">
        <w:rPr>
          <w:lang w:val="en-GB"/>
        </w:rPr>
        <w:t>These results led to two questions: whether the difference in measured AN values translates to difference in catalytic performance, and how is Lewis acidity related to speciation, considering that in chlorometallate ILs there was a clear and direct link between anionic speciation and AN values.</w:t>
      </w:r>
      <w:r w:rsidRPr="00905DD7">
        <w:rPr>
          <w:lang w:val="en-GB"/>
        </w:rPr>
        <w:fldChar w:fldCharType="begin" w:fldLock="1"/>
      </w:r>
      <w:r w:rsidR="0026470D">
        <w:rPr>
          <w:lang w:val="en-GB"/>
        </w:rPr>
        <w:instrText>ADDIN CSL_CITATION {"citationItems":[{"id":"ITEM-1","itemData":{"DOI":"10.1039/c0dt00895h","ISSN":"14779226","abstract":"The Gutmann Acceptor Number (AN), which is a quantitative measure of Lewis acidity, has been estimated using the 31P NMR chemical shift of a probe molecule, triethylphosphine oxide, for a range of chlorometallate(iii) ionic liquids, based on Group 13 metals (aluminium(iii), gallium(iii) and indium(iii)) and the 1-octyl-3-methylimidazolium cation, at different compositions. The results were interpreted in terms of extant speciation studies of chlorometallate(iii) ionic liquids, and compared with a range of standard molecular solvents and acids. The value of these data were illustrated in terms of the selection of appropriate ionic liquids for specific applications. © 2010 The Royal Society of Chemistry.","author":[{"dropping-particle":"","family":"Estager","given":"Julien","non-dropping-particle":"","parse-names":false,"suffix":""},{"dropping-particle":"","family":"Oliferenko","given":"Alexander A.","non-dropping-particle":"","parse-names":false,"suffix":""},{"dropping-particle":"","family":"Seddon","given":"Kenneth R.","non-dropping-particle":"","parse-names":false,"suffix":""},{"dropping-particle":"","family":"Swadźba-Kwaśny","given":"Małgorzata","non-dropping-particle":"","parse-names":false,"suffix":""}],"container-title":"Dalton Transactions","id":"ITEM-1","issue":"47","issued":{"date-parts":[["2010","12","21"]]},"page":"11375-11382","publisher":"The Royal Society of Chemistry","title":"Chlorometallate(iii) ionic liquids as Lewis acidic catalysts - A quantitative study of acceptor properties","type":"article-journal","volume":"39"},"uris":["http://www.mendeley.com/documents/?uuid=4c2b0733-e413-3a66-afc6-1391358ec04a"]},{"id":"ITEM-2","itemData":{"DOI":"10.1039/c7dt02408h","ISSN":"14779234","PMID":"28766628","abstract":"Coordination complexes of Lewis acidic metal chlorides AlCl3, GaCl3, InCl3, SbCl3, SnCl4, SnCl2, ZnCl2 and TiCl4 with trioctylphosphine (P888) and trioctylphosphine oxide (P888O) were synthesised. All compounds formed liquid coordination complexes (LCCs) at ambient temperature, although decomposition via a redox mechanism was detected in some cases. The Lewis acidity of the metal chlorides (measured in 1,2-dichloroethane solutions) and the LCCs (measured neat) was quantified by using the Gutmann acceptor number (AN) approach. In general, LCCs were equally or more Lewis acidic than the corresponding metal chlorides. The AN values were compared with the catalytic activity of selected LCCs in a model Diels-Alder reaction. Insight into speciation of LCCs was gained using multinuclear NMR spectroscopy, revealing that most LCCs comprised charge-neutral complexes rather than ionic ones. The relationship between the speciation, Lewis acidity (AN scale) and catalytic activity is discussed in detail. This approach reveals several new, promising catalytic systems, such as P888O-InCl3, with Lewis acidity enhanced compared to chloroindate ionic liquids, and P888O-TiCl4, with hydrolytic stability enhanced with respect to neat TiCl4.","author":[{"dropping-particle":"","family":"Hogg","given":"James M.","non-dropping-particle":"","parse-names":false,"suffix":""},{"dropping-particle":"","family":"Brown","given":"Lucy C.","non-dropping-particle":"","parse-names":false,"suffix":""},{"dropping-particle":"","family":"Matuszek","given":"Karolina","non-dropping-particle":"","parse-names":false,"suffix":""},{"dropping-particle":"","family":"Latos","given":"Piotr","non-dropping-particle":"","parse-names":false,"suffix":""},{"dropping-particle":"","family":"Chrobok","given":"Anna","non-dropping-particle":"","parse-names":false,"suffix":""},{"dropping-particle":"","family":"Swadźba-Kwaśny","given":"Małgorzata","non-dropping-particle":"","parse-names":false,"suffix":""}],"container-title":"Dalton Transactions","id":"ITEM-2","issue":"35","issued":{"date-parts":[["2017"]]},"page":"11561-11574","publisher":"Royal Society of Chemistry","title":"Liquid coordination complexes of Lewis acidic metal chlorides: Lewis acidity and insights into speciation","type":"article-journal","volume":"46"},"uris":["http://www.mendeley.com/documents/?uuid=7f817de9-86ff-485a-b63a-5768687629d9"]}],"mendeley":{"formattedCitation":"&lt;sup&gt;4,45&lt;/sup&gt;","plainTextFormattedCitation":"4,45","previouslyFormattedCitation":"&lt;sup&gt;4,45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4,45</w:t>
      </w:r>
      <w:r w:rsidRPr="00905DD7">
        <w:rPr>
          <w:lang w:val="en-GB"/>
        </w:rPr>
        <w:fldChar w:fldCharType="end"/>
      </w:r>
    </w:p>
    <w:p w14:paraId="6FA9C31C" w14:textId="77777777" w:rsidR="00ED145C" w:rsidRDefault="00ED145C" w:rsidP="00B14824">
      <w:pPr>
        <w:pStyle w:val="RSCB06BHeadingSub-Section"/>
        <w:rPr>
          <w:w w:val="108"/>
        </w:rPr>
      </w:pPr>
    </w:p>
    <w:p w14:paraId="089A6ED4" w14:textId="629B0207" w:rsidR="00B14824" w:rsidRDefault="00B14824" w:rsidP="00B14824">
      <w:pPr>
        <w:pStyle w:val="RSCB06BHeadingSub-Section"/>
        <w:rPr>
          <w:w w:val="108"/>
        </w:rPr>
      </w:pPr>
      <w:r w:rsidRPr="00905DD7">
        <w:rPr>
          <w:w w:val="108"/>
        </w:rPr>
        <w:t>Speciation of Group 13 SILs</w:t>
      </w:r>
    </w:p>
    <w:p w14:paraId="279A5FBB" w14:textId="18394B25" w:rsidR="00B14824" w:rsidRPr="00905DD7" w:rsidRDefault="00B14824" w:rsidP="00B14824">
      <w:pPr>
        <w:pStyle w:val="RSCB02ArticleText"/>
        <w:rPr>
          <w:lang w:val="en-GB"/>
        </w:rPr>
      </w:pPr>
      <w:r w:rsidRPr="00905DD7">
        <w:rPr>
          <w:lang w:val="en-GB"/>
        </w:rPr>
        <w:t>In contrast to Li-based SILs, very little is known about the speciation of Al-base</w:t>
      </w:r>
      <w:r w:rsidR="001B151D" w:rsidRPr="00905DD7">
        <w:rPr>
          <w:lang w:val="en-GB"/>
        </w:rPr>
        <w:t>d</w:t>
      </w:r>
      <w:r w:rsidRPr="00905DD7">
        <w:rPr>
          <w:lang w:val="en-GB"/>
        </w:rPr>
        <w:t xml:space="preserve"> SILs. A single FT-IR spectroscopic study of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and diglyme mixtures, across a range of concentrations: </w:t>
      </w:r>
      <w:r w:rsidRPr="00905DD7">
        <w:rPr>
          <w:i/>
          <w:iCs/>
          <w:lang w:val="en-GB"/>
        </w:rPr>
        <w:t>χ</w:t>
      </w:r>
      <w:r w:rsidRPr="00905DD7">
        <w:rPr>
          <w:vertAlign w:val="subscript"/>
          <w:lang w:val="en-GB"/>
        </w:rPr>
        <w:t>Al(</w:t>
      </w:r>
      <w:proofErr w:type="spellStart"/>
      <w:r w:rsidRPr="00905DD7">
        <w:rPr>
          <w:vertAlign w:val="subscript"/>
          <w:lang w:val="en-GB"/>
        </w:rPr>
        <w:t>OTf</w:t>
      </w:r>
      <w:proofErr w:type="spellEnd"/>
      <w:r w:rsidRPr="00905DD7">
        <w:rPr>
          <w:vertAlign w:val="subscript"/>
          <w:lang w:val="en-GB"/>
        </w:rPr>
        <w:t>)3</w:t>
      </w:r>
      <w:r w:rsidRPr="00905DD7">
        <w:rPr>
          <w:i/>
          <w:iCs/>
          <w:lang w:val="en-GB"/>
        </w:rPr>
        <w:t xml:space="preserve"> </w:t>
      </w:r>
      <w:r w:rsidRPr="00905DD7">
        <w:rPr>
          <w:lang w:val="en-GB"/>
        </w:rPr>
        <w:t>= 0.286, 0.130, 0.029 and 0.0015, suggested the presence of free triflate anions in the two most diluted samples, and the prevalence of Al-</w:t>
      </w:r>
      <w:proofErr w:type="spellStart"/>
      <w:r w:rsidRPr="00905DD7">
        <w:rPr>
          <w:lang w:val="en-GB"/>
        </w:rPr>
        <w:t>OTf</w:t>
      </w:r>
      <w:proofErr w:type="spellEnd"/>
      <w:r w:rsidRPr="00905DD7">
        <w:rPr>
          <w:lang w:val="en-GB"/>
        </w:rPr>
        <w:t xml:space="preserve"> coordination in the more concentrated samples.</w:t>
      </w:r>
      <w:r w:rsidRPr="00905DD7">
        <w:rPr>
          <w:lang w:val="en-GB"/>
        </w:rPr>
        <w:fldChar w:fldCharType="begin" w:fldLock="1"/>
      </w:r>
      <w:r w:rsidR="0026470D">
        <w:rPr>
          <w:lang w:val="en-GB"/>
        </w:rPr>
        <w:instrText>ADDIN CSL_CITATION {"citationItems":[{"id":"ITEM-1","itemData":{"ISSN":"15205207","abstract":"The physicochemical properties of aluminum trifluoromethanesulfonate in diglyme have been investigated. The spectroscopic and electrochemical properties have been examined to determine speciation, conductivity, and electrochemical stability. Gaussian calculations provide optimized molecular geometries and offer insight into the electrochemical behavior of the solutions. The ions in solution appear to exhibit very straightforward behavior, with contact ion pairs forming at very low concentrations. In addition, the electrochemical window of the electrolyte initially decreases with increasing salt concentration to a minimum value of approximately 5.5 V around 1 M and then steadily rises to a maximum value above 8 V.","author":[{"dropping-particle":"","family":"Reed","given":"Luke D.","non-dropping-particle":"","parse-names":false,"suffix":""},{"dropping-particle":"","family":"Arteaga","given":"Ana","non-dropping-particle":"","parse-names":false,"suffix":""},{"dropping-particle":"","family":"Menke","given":"Erik J.","non-dropping-particle":"","parse-names":false,"suffix":""}],"container-title":"Journal of Physical Chemistry B","id":"ITEM-1","issue":"39","issued":{"date-parts":[["2015","10","1"]]},"page":"12677-12681","publisher":"American Chemical Society","title":"A Combined Experimental and Computational Study of an Aluminum Triflate/Diglyme Electrolyte","type":"article-journal","volume":"119"},"uris":["http://www.mendeley.com/documents/?uuid=21f2c74f-79cc-4c73-a736-e7a4b368b995"]}],"mendeley":{"formattedCitation":"&lt;sup&gt;35&lt;/sup&gt;","plainTextFormattedCitation":"35","previouslyFormattedCitation":"&lt;sup&gt;35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35</w:t>
      </w:r>
      <w:r w:rsidRPr="00905DD7">
        <w:rPr>
          <w:lang w:val="en-GB"/>
        </w:rPr>
        <w:fldChar w:fldCharType="end"/>
      </w:r>
    </w:p>
    <w:p w14:paraId="685762EC" w14:textId="77777777" w:rsidR="00B14824" w:rsidRPr="00905DD7" w:rsidRDefault="00B14824" w:rsidP="00ED61EB">
      <w:pPr>
        <w:pStyle w:val="RSCB02ArticleText"/>
        <w:ind w:firstLine="284"/>
        <w:rPr>
          <w:lang w:val="en-GB"/>
        </w:rPr>
      </w:pPr>
      <w:r w:rsidRPr="00905DD7">
        <w:rPr>
          <w:lang w:val="en-GB"/>
        </w:rPr>
        <w:t xml:space="preserve">In this work, speciation of SILs was studied as a function of composition using multinuclear </w:t>
      </w:r>
      <w:r w:rsidRPr="00905DD7">
        <w:rPr>
          <w:vertAlign w:val="superscript"/>
          <w:lang w:val="en-GB"/>
        </w:rPr>
        <w:t>1</w:t>
      </w:r>
      <w:r w:rsidRPr="00905DD7">
        <w:rPr>
          <w:lang w:val="en-GB"/>
        </w:rPr>
        <w:t xml:space="preserve">H, </w:t>
      </w:r>
      <w:r w:rsidRPr="00905DD7">
        <w:rPr>
          <w:vertAlign w:val="superscript"/>
          <w:lang w:val="en-GB"/>
        </w:rPr>
        <w:t>13</w:t>
      </w:r>
      <w:r w:rsidRPr="00905DD7">
        <w:rPr>
          <w:lang w:val="en-GB"/>
        </w:rPr>
        <w:t xml:space="preserve">C, </w:t>
      </w:r>
      <w:r w:rsidRPr="00905DD7">
        <w:rPr>
          <w:vertAlign w:val="superscript"/>
          <w:lang w:val="en-GB"/>
        </w:rPr>
        <w:t>27</w:t>
      </w:r>
      <w:r w:rsidRPr="00905DD7">
        <w:rPr>
          <w:lang w:val="en-GB"/>
        </w:rPr>
        <w:t xml:space="preserve">Al or </w:t>
      </w:r>
      <w:r w:rsidRPr="00905DD7">
        <w:rPr>
          <w:vertAlign w:val="superscript"/>
          <w:lang w:val="en-GB"/>
        </w:rPr>
        <w:t>71</w:t>
      </w:r>
      <w:r w:rsidRPr="00905DD7">
        <w:rPr>
          <w:lang w:val="en-GB"/>
        </w:rPr>
        <w:t>Ga NMR spectroscopy. All SILs were studied neat; in NMR spectroscopy, a capillary with D</w:t>
      </w:r>
      <w:r w:rsidRPr="00905DD7">
        <w:rPr>
          <w:vertAlign w:val="subscript"/>
          <w:lang w:val="en-GB"/>
        </w:rPr>
        <w:t>2</w:t>
      </w:r>
      <w:r w:rsidRPr="00905DD7">
        <w:rPr>
          <w:lang w:val="en-GB"/>
        </w:rPr>
        <w:t xml:space="preserve">O was used as a lock and external reference. </w:t>
      </w:r>
    </w:p>
    <w:p w14:paraId="59E37613" w14:textId="3F38BB92" w:rsidR="00F71F8F" w:rsidRPr="00905DD7" w:rsidRDefault="00B14824" w:rsidP="00883777">
      <w:pPr>
        <w:pStyle w:val="RSCB02ArticleText"/>
        <w:rPr>
          <w:lang w:val="en-GB"/>
        </w:rPr>
      </w:pPr>
      <w:r w:rsidRPr="00905DD7">
        <w:rPr>
          <w:lang w:val="en-GB"/>
        </w:rPr>
        <w:t xml:space="preserve">The </w:t>
      </w:r>
      <w:r w:rsidRPr="00905DD7">
        <w:rPr>
          <w:vertAlign w:val="superscript"/>
          <w:lang w:val="en-GB"/>
        </w:rPr>
        <w:t>1</w:t>
      </w:r>
      <w:r w:rsidRPr="00905DD7">
        <w:rPr>
          <w:lang w:val="en-GB"/>
        </w:rPr>
        <w:t>H NMR spectra of G3:M(</w:t>
      </w:r>
      <w:proofErr w:type="spellStart"/>
      <w:r w:rsidRPr="00905DD7">
        <w:rPr>
          <w:lang w:val="en-GB"/>
        </w:rPr>
        <w:t>OTf</w:t>
      </w:r>
      <w:proofErr w:type="spellEnd"/>
      <w:r w:rsidRPr="00905DD7">
        <w:rPr>
          <w:lang w:val="en-GB"/>
        </w:rPr>
        <w:t>)</w:t>
      </w:r>
      <w:r w:rsidRPr="00905DD7">
        <w:rPr>
          <w:vertAlign w:val="subscript"/>
          <w:lang w:val="en-GB"/>
        </w:rPr>
        <w:t xml:space="preserve">3 </w:t>
      </w:r>
      <w:r w:rsidRPr="00905DD7">
        <w:rPr>
          <w:lang w:val="en-GB"/>
        </w:rPr>
        <w:t xml:space="preserve">systems have been compared to the </w:t>
      </w:r>
      <w:r w:rsidRPr="00905DD7">
        <w:rPr>
          <w:vertAlign w:val="superscript"/>
          <w:lang w:val="en-GB"/>
        </w:rPr>
        <w:t>1</w:t>
      </w:r>
      <w:r w:rsidRPr="00905DD7">
        <w:rPr>
          <w:lang w:val="en-GB"/>
        </w:rPr>
        <w:t xml:space="preserve">H NMR spectrum of neat triglyme (Figure </w:t>
      </w:r>
      <w:r w:rsidR="00317B1E">
        <w:rPr>
          <w:lang w:val="en-GB"/>
        </w:rPr>
        <w:t>4</w:t>
      </w:r>
      <w:r w:rsidRPr="00905DD7">
        <w:rPr>
          <w:lang w:val="en-GB"/>
        </w:rPr>
        <w:t>). Signals corresponding to both methylene and methyl groups</w:t>
      </w:r>
      <w:r w:rsidR="000C439F" w:rsidRPr="00905DD7">
        <w:rPr>
          <w:lang w:val="en-GB"/>
        </w:rPr>
        <w:t> </w:t>
      </w:r>
      <w:r w:rsidRPr="00905DD7">
        <w:rPr>
          <w:lang w:val="en-GB"/>
        </w:rPr>
        <w:t>of</w:t>
      </w:r>
      <w:r w:rsidR="000C439F" w:rsidRPr="00905DD7">
        <w:rPr>
          <w:lang w:val="en-GB"/>
        </w:rPr>
        <w:t xml:space="preserve"> </w:t>
      </w:r>
      <w:r w:rsidRPr="00905DD7">
        <w:rPr>
          <w:lang w:val="en-GB"/>
        </w:rPr>
        <w:t>glyme</w:t>
      </w:r>
      <w:r w:rsidR="000C439F" w:rsidRPr="00905DD7">
        <w:rPr>
          <w:lang w:val="en-GB"/>
        </w:rPr>
        <w:t xml:space="preserve"> </w:t>
      </w:r>
      <w:r w:rsidRPr="00905DD7">
        <w:rPr>
          <w:lang w:val="en-GB"/>
        </w:rPr>
        <w:t>in SILs (</w:t>
      </w:r>
      <w:proofErr w:type="spellStart"/>
      <w:r w:rsidRPr="00905DD7">
        <w:rPr>
          <w:i/>
          <w:iCs/>
          <w:lang w:val="en-GB"/>
        </w:rPr>
        <w:t>δ</w:t>
      </w:r>
      <w:r w:rsidRPr="00905DD7">
        <w:rPr>
          <w:vertAlign w:val="subscript"/>
          <w:lang w:val="en-GB"/>
        </w:rPr>
        <w:t>H</w:t>
      </w:r>
      <w:proofErr w:type="spellEnd"/>
      <w:r w:rsidRPr="00905DD7">
        <w:rPr>
          <w:lang w:val="en-GB"/>
        </w:rPr>
        <w:t xml:space="preserve"> = 3.0</w:t>
      </w:r>
      <w:r w:rsidR="00DF4A39" w:rsidRPr="00905DD7">
        <w:rPr>
          <w:lang w:val="en-GB"/>
        </w:rPr>
        <w:t xml:space="preserve"> </w:t>
      </w:r>
      <w:r w:rsidRPr="00905DD7">
        <w:rPr>
          <w:lang w:val="en-GB"/>
        </w:rPr>
        <w:t>-</w:t>
      </w:r>
      <w:r w:rsidR="00DF4A39" w:rsidRPr="00905DD7">
        <w:rPr>
          <w:lang w:val="en-GB"/>
        </w:rPr>
        <w:t xml:space="preserve"> </w:t>
      </w:r>
      <w:r w:rsidRPr="00905DD7">
        <w:rPr>
          <w:lang w:val="en-GB"/>
        </w:rPr>
        <w:t>3.5 ppm) are more shielded than the corresponding</w:t>
      </w:r>
      <w:r w:rsidR="000C439F" w:rsidRPr="00905DD7">
        <w:rPr>
          <w:lang w:val="en-GB"/>
        </w:rPr>
        <w:t xml:space="preserve"> </w:t>
      </w:r>
      <w:r w:rsidRPr="00905DD7">
        <w:rPr>
          <w:lang w:val="en-GB"/>
        </w:rPr>
        <w:t>signals</w:t>
      </w:r>
      <w:r w:rsidR="000C439F" w:rsidRPr="00905DD7">
        <w:rPr>
          <w:lang w:val="en-GB"/>
        </w:rPr>
        <w:t xml:space="preserve"> </w:t>
      </w:r>
      <w:r w:rsidRPr="00905DD7">
        <w:rPr>
          <w:lang w:val="en-GB"/>
        </w:rPr>
        <w:t>in</w:t>
      </w:r>
      <w:r w:rsidR="000C439F" w:rsidRPr="00905DD7">
        <w:rPr>
          <w:lang w:val="en-GB"/>
        </w:rPr>
        <w:t xml:space="preserve"> </w:t>
      </w:r>
      <w:r w:rsidRPr="00905DD7">
        <w:rPr>
          <w:lang w:val="en-GB"/>
        </w:rPr>
        <w:t>neat</w:t>
      </w:r>
      <w:r w:rsidR="000C439F" w:rsidRPr="00905DD7">
        <w:rPr>
          <w:lang w:val="en-GB"/>
        </w:rPr>
        <w:t xml:space="preserve"> </w:t>
      </w:r>
      <w:r w:rsidRPr="00905DD7">
        <w:rPr>
          <w:lang w:val="en-GB"/>
        </w:rPr>
        <w:t>glyme</w:t>
      </w:r>
      <w:r w:rsidR="000C439F" w:rsidRPr="00905DD7">
        <w:rPr>
          <w:lang w:val="en-GB"/>
        </w:rPr>
        <w:t xml:space="preserve"> </w:t>
      </w:r>
      <w:r w:rsidRPr="00905DD7">
        <w:rPr>
          <w:lang w:val="en-GB"/>
        </w:rPr>
        <w:t>(</w:t>
      </w:r>
      <w:bookmarkStart w:id="6" w:name="_Hlk174395191"/>
      <w:proofErr w:type="spellStart"/>
      <w:r w:rsidRPr="00905DD7">
        <w:rPr>
          <w:lang w:val="en-GB"/>
        </w:rPr>
        <w:t>δ</w:t>
      </w:r>
      <w:r w:rsidR="000C439F" w:rsidRPr="00905DD7">
        <w:rPr>
          <w:vertAlign w:val="subscript"/>
          <w:lang w:val="en-GB"/>
        </w:rPr>
        <w:t>H</w:t>
      </w:r>
      <w:proofErr w:type="spellEnd"/>
      <w:r w:rsidR="000C439F" w:rsidRPr="00905DD7">
        <w:rPr>
          <w:lang w:val="en-GB"/>
        </w:rPr>
        <w:t> </w:t>
      </w:r>
      <w:r w:rsidRPr="00905DD7">
        <w:rPr>
          <w:lang w:val="en-GB"/>
        </w:rPr>
        <w:t>=</w:t>
      </w:r>
      <w:bookmarkEnd w:id="6"/>
      <w:r w:rsidR="000C439F" w:rsidRPr="00905DD7">
        <w:rPr>
          <w:lang w:val="en-GB"/>
        </w:rPr>
        <w:t> </w:t>
      </w:r>
      <w:r w:rsidRPr="00905DD7">
        <w:rPr>
          <w:lang w:val="en-GB"/>
        </w:rPr>
        <w:t>3.9</w:t>
      </w:r>
      <w:r w:rsidR="00DF4A39" w:rsidRPr="00905DD7">
        <w:rPr>
          <w:lang w:val="en-GB"/>
        </w:rPr>
        <w:t xml:space="preserve"> </w:t>
      </w:r>
      <w:r w:rsidRPr="00905DD7">
        <w:rPr>
          <w:lang w:val="en-GB"/>
        </w:rPr>
        <w:noBreakHyphen/>
      </w:r>
      <w:r w:rsidR="00DF4A39" w:rsidRPr="00905DD7">
        <w:rPr>
          <w:lang w:val="en-GB"/>
        </w:rPr>
        <w:t xml:space="preserve"> </w:t>
      </w:r>
      <w:r w:rsidRPr="00905DD7">
        <w:rPr>
          <w:lang w:val="en-GB"/>
        </w:rPr>
        <w:t>4.2</w:t>
      </w:r>
      <w:r w:rsidR="000C439F" w:rsidRPr="00905DD7">
        <w:rPr>
          <w:lang w:val="en-GB"/>
        </w:rPr>
        <w:t> </w:t>
      </w:r>
      <w:r w:rsidRPr="00905DD7">
        <w:rPr>
          <w:lang w:val="en-GB"/>
        </w:rPr>
        <w:t>ppm),</w:t>
      </w:r>
      <w:r w:rsidR="000C439F" w:rsidRPr="00905DD7">
        <w:rPr>
          <w:lang w:val="en-GB"/>
        </w:rPr>
        <w:t xml:space="preserve"> </w:t>
      </w:r>
      <w:r w:rsidRPr="00905DD7">
        <w:rPr>
          <w:lang w:val="en-GB"/>
        </w:rPr>
        <w:t>consistent with coordination of oxygens to the metal centre.</w:t>
      </w:r>
      <w:r w:rsidRPr="00905DD7">
        <w:fldChar w:fldCharType="begin" w:fldLock="1"/>
      </w:r>
      <w:r w:rsidR="0026470D">
        <w:rPr>
          <w:lang w:val="en-GB"/>
        </w:rPr>
        <w:instrText>ADDIN CSL_CITATION {"citationItems":[{"id":"ITEM-1","itemData":{"DOI":"10.1039/c9dt04732h","ISSN":"14779234","PMID":"31932829","abstract":"Novel adducts of lithium hexafluoroacetylacetonato {Li(hfa)} with polyethers (monoglyme = {CH3OCH2CH2OCH3}, diglyme = {CH3O(CH2CH2O)2CH3}, triglyme = {CH3O(CH2CH2O)3CH3} and tetraglyme {CH3O(CH2CH2O)4CH3} have been synthesized through a single step reaction and characterized by FT-IR spectroscopy, 1H, and 13C NMR, single crystal X-ray diffraction studies along with thermal analysis.","author":[{"dropping-particle":"","family":"Peddagopu","given":"Nishant","non-dropping-particle":"","parse-names":false,"suffix":""},{"dropping-particle":"","family":"Rossi","given":"Patrizia","non-dropping-particle":"","parse-names":false,"suffix":""},{"dropping-particle":"","family":"Bonaccorso","given":"Carmela","non-dropping-particle":"","parse-names":false,"suffix":""},{"dropping-particle":"","family":"Bartasyte","given":"Ausrine","non-dropping-particle":"","parse-names":false,"suffix":""},{"dropping-particle":"","family":"Paoli","given":"Paola","non-dropping-particle":"","parse-names":false,"suffix":""},{"dropping-particle":"","family":"Malandrino","given":"Graziella","non-dropping-particle":"","parse-names":false,"suffix":""}],"container-title":"Dalton Transactions","id":"ITEM-1","issue":"4","issued":{"date-parts":[["2020"]]},"page":"1002-1006","title":"Facile synthesis of novel lithium β-diketonate glyme adducts: The effect of molecular engineering on the thermal properties","type":"article-journal","volume":"49"},"uris":["http://www.mendeley.com/documents/?uuid=b8bd5442-37bc-3119-a03c-8448ad67c899"]},{"id":"ITEM-2","itemData":{"DOI":"10.1039/c8cp02527d","ISSN":"14639076","PMID":"29873357","abstract":"Solvate ionic liquids are a relatively new class of liquids produced by combining a coordinating solvent with a salt. They have a variety of uses and their suitability for such depends upon the ratio of salt to coordinating solvent. This work investigates the Kamlet-Taft solvent parameters of, NMR chemical shifts of nuclei in, and thermoelectrochemistry of a selected set of solvate ionic liquids produced from glymes (methyl terminated oligomers of ethylene glycol) and lithium bis(trifluoromethylsulfonyl)imide at two different compositions. The aim is to improve the understanding of the interactions occurring in these ionic liquids to help select suitable solvate ionic liquids for future applications.","author":[{"dropping-particle":"","family":"Black","given":"Jeffrey J.","non-dropping-particle":"","parse-names":false,"suffix":""},{"dropping-particle":"","family":"Dolan","given":"Andrew","non-dropping-particle":"","parse-names":false,"suffix":""},{"dropping-particle":"","family":"Harper","given":"Jason B.","non-dropping-particle":"","parse-names":false,"suffix":""},{"dropping-particle":"","family":"Aldous","given":"Leigh","non-dropping-particle":"","parse-names":false,"suffix":""}],"container-title":"Physical Chemistry Chemical Physics","id":"ITEM-2","issue":"24","issued":{"date-parts":[["2018"]]},"page":"16558-16567","publisher":"Royal Society of Chemistry","title":"Kamlet-Taft solvent parameters, NMR spectroscopic analysis and thermoelectrochemistry of lithium-glyme solvate ionic liquids and their dilute solutions","type":"article-journal","volume":"20"},"uris":["http://www.mendeley.com/documents/?uuid=966ceb8e-d802-4e6b-b014-1f7ac01d3970"]},{"id":"ITEM-3","itemData":{"DOI":"10.1039/c5ra05797c","ISSN":"20462069","abstract":"A series of glyme-lithium salt ionic liquids were prepared and applied in SO&lt;inf&gt;2&lt;/inf&gt; absorption. The formed quasi-aza-crown ether fashioned between Li&lt;sup&gt;+&lt;/sup&gt; and glymes can effectively reduce the solvent volatilization, and have an excellent SO&lt;inf&gt;2&lt;/inf&gt; absorption capacity. In addition, the mechanism of the interaction between SO&lt;inf&gt;2&lt;/inf&gt; and ionic liquids was investigated by IR and NMR.","author":[{"dropping-particle":"","family":"Sun","given":"Shaoyang","non-dropping-particle":"","parse-names":false,"suffix":""},{"dropping-particle":"","family":"Niu","given":"Yanxia","non-dropping-particle":"","parse-names":false,"suffix":""},{"dropping-particle":"","family":"Xu","given":"Qiang","non-dropping-particle":"","parse-names":false,"suffix":""},{"dropping-particle":"","family":"Sun","given":"Zuchen","non-dropping-particle":"","parse-names":false,"suffix":""},{"dropping-particle":"","family":"Wei","given":"Xionghui","non-dropping-particle":"","parse-names":false,"suffix":""}],"container-title":"RSC Advances","id":"ITEM-3","issue":"58","issued":{"date-parts":[["2015"]]},"page":"46564-46567","publisher":"Royal Society of Chemistry","title":"Highly efficient sulfur dioxide capture by glyme-lithium salt ionic liquids","type":"article-journal","volume":"5"},"uris":["http://www.mendeley.com/documents/?uuid=24bd261d-640b-387c-83ad-749a8dff6ab6"]}],"mendeley":{"formattedCitation":"&lt;sup&gt;48–50&lt;/sup&gt;","plainTextFormattedCitation":"48–50","previouslyFormattedCitation":"&lt;sup&gt;48–50&lt;/sup&gt;"},"properties":{"noteIndex":0},"schema":"https://github.com/citation-style-language/schema/raw/master/csl-citation.json"}</w:instrText>
      </w:r>
      <w:r w:rsidRPr="00905DD7">
        <w:fldChar w:fldCharType="separate"/>
      </w:r>
      <w:r w:rsidR="0026470D" w:rsidRPr="0026470D">
        <w:rPr>
          <w:noProof/>
          <w:vertAlign w:val="superscript"/>
          <w:lang w:val="en-GB"/>
        </w:rPr>
        <w:t>48–50</w:t>
      </w:r>
      <w:r w:rsidRPr="00905DD7">
        <w:fldChar w:fldCharType="end"/>
      </w:r>
      <w:r w:rsidRPr="00905DD7">
        <w:rPr>
          <w:lang w:val="en-GB"/>
        </w:rPr>
        <w:t xml:space="preserve"> As expected, upon increasing the glyme concentration from </w:t>
      </w:r>
      <w:proofErr w:type="spellStart"/>
      <w:r w:rsidRPr="00905DD7">
        <w:rPr>
          <w:i/>
          <w:iCs/>
          <w:lang w:val="en-GB"/>
        </w:rPr>
        <w:t>χ</w:t>
      </w:r>
      <w:r w:rsidRPr="00905DD7">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w:t>
      </w:r>
      <w:r w:rsidRPr="00905DD7">
        <w:rPr>
          <w:vertAlign w:val="subscript"/>
          <w:lang w:val="en-GB"/>
        </w:rPr>
        <w:t xml:space="preserve"> </w:t>
      </w:r>
      <w:r w:rsidRPr="00905DD7">
        <w:rPr>
          <w:lang w:val="en-GB"/>
        </w:rPr>
        <w:t>0.33 to 0.09, the signals become slightly shielded, because more oxygens are competing for each atom of</w:t>
      </w:r>
      <w:r w:rsidR="000C439F" w:rsidRPr="00905DD7">
        <w:rPr>
          <w:lang w:val="en-GB"/>
        </w:rPr>
        <w:t xml:space="preserve"> aluminium.</w:t>
      </w:r>
      <w:r w:rsidR="00D5609C" w:rsidRPr="00905DD7">
        <w:rPr>
          <w:lang w:val="en-GB"/>
        </w:rPr>
        <w:t xml:space="preserve"> Even at </w:t>
      </w:r>
      <w:proofErr w:type="spellStart"/>
      <w:r w:rsidR="00D5609C" w:rsidRPr="00905DD7">
        <w:rPr>
          <w:i/>
          <w:iCs/>
          <w:lang w:val="en-GB"/>
        </w:rPr>
        <w:t>χ</w:t>
      </w:r>
      <w:r w:rsidR="00D5609C" w:rsidRPr="00905DD7">
        <w:rPr>
          <w:vertAlign w:val="subscript"/>
          <w:lang w:val="en-GB"/>
        </w:rPr>
        <w:t>M</w:t>
      </w:r>
      <w:proofErr w:type="spellEnd"/>
      <w:r w:rsidR="00D5609C" w:rsidRPr="00905DD7">
        <w:rPr>
          <w:vertAlign w:val="subscript"/>
          <w:lang w:val="en-GB"/>
        </w:rPr>
        <w:t>(</w:t>
      </w:r>
      <w:proofErr w:type="spellStart"/>
      <w:r w:rsidR="00D5609C" w:rsidRPr="00905DD7">
        <w:rPr>
          <w:vertAlign w:val="subscript"/>
          <w:lang w:val="en-GB"/>
        </w:rPr>
        <w:t>OTf</w:t>
      </w:r>
      <w:proofErr w:type="spellEnd"/>
      <w:r w:rsidR="00D5609C" w:rsidRPr="00905DD7">
        <w:rPr>
          <w:vertAlign w:val="subscript"/>
          <w:lang w:val="en-GB"/>
        </w:rPr>
        <w:t>)3</w:t>
      </w:r>
      <w:r w:rsidR="00D5609C" w:rsidRPr="00905DD7">
        <w:rPr>
          <w:lang w:val="en-GB"/>
        </w:rPr>
        <w:t xml:space="preserve"> =</w:t>
      </w:r>
      <w:r w:rsidR="00D5609C" w:rsidRPr="00905DD7">
        <w:rPr>
          <w:vertAlign w:val="subscript"/>
          <w:lang w:val="en-GB"/>
        </w:rPr>
        <w:t xml:space="preserve"> </w:t>
      </w:r>
      <w:r w:rsidR="00D5609C" w:rsidRPr="00905DD7">
        <w:rPr>
          <w:lang w:val="en-GB"/>
        </w:rPr>
        <w:t>0.09, which corresponds to ten G3 molecules to each M(</w:t>
      </w:r>
      <w:proofErr w:type="spellStart"/>
      <w:r w:rsidR="00D5609C" w:rsidRPr="00905DD7">
        <w:rPr>
          <w:lang w:val="en-GB"/>
        </w:rPr>
        <w:t>OTf</w:t>
      </w:r>
      <w:proofErr w:type="spellEnd"/>
      <w:r w:rsidR="00D5609C" w:rsidRPr="00905DD7">
        <w:rPr>
          <w:lang w:val="en-GB"/>
        </w:rPr>
        <w:t>)</w:t>
      </w:r>
      <w:r w:rsidR="00D5609C" w:rsidRPr="00905DD7">
        <w:rPr>
          <w:vertAlign w:val="subscript"/>
          <w:lang w:val="en-GB"/>
        </w:rPr>
        <w:t>3</w:t>
      </w:r>
      <w:r w:rsidR="00D5609C" w:rsidRPr="00905DD7">
        <w:rPr>
          <w:lang w:val="en-GB"/>
        </w:rPr>
        <w:t>, all glyme molecules appear to be coordinated to the metal centres, and no signals corresponding to free glyme are visible.</w:t>
      </w:r>
    </w:p>
    <w:p w14:paraId="4ACB656F" w14:textId="77777777" w:rsidR="00D5609C" w:rsidRPr="00905DD7" w:rsidRDefault="00D5609C" w:rsidP="00ED61EB">
      <w:pPr>
        <w:pStyle w:val="RSCI02FigureSchemeChartwithtopbar"/>
      </w:pPr>
      <w:r w:rsidRPr="00905DD7">
        <w:rPr>
          <w:noProof/>
        </w:rPr>
        <w:drawing>
          <wp:inline distT="0" distB="0" distL="0" distR="0" wp14:anchorId="11C82934" wp14:editId="0F1DB404">
            <wp:extent cx="2988000" cy="2082545"/>
            <wp:effectExtent l="0" t="0" r="3175" b="0"/>
            <wp:docPr id="1305015476" name="Obraz 1" descr="Obraz zawierający tekst, linia, zrzut ekranu,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15476" name="Obraz 1" descr="Obraz zawierający tekst, linia, zrzut ekranu, Wykres&#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8000" cy="2082545"/>
                    </a:xfrm>
                    <a:prstGeom prst="rect">
                      <a:avLst/>
                    </a:prstGeom>
                  </pic:spPr>
                </pic:pic>
              </a:graphicData>
            </a:graphic>
          </wp:inline>
        </w:drawing>
      </w:r>
      <w:r w:rsidRPr="00905DD7">
        <w:t xml:space="preserve">  </w:t>
      </w:r>
    </w:p>
    <w:p w14:paraId="59BEE0F2" w14:textId="2CFFCE5C" w:rsidR="003D3487" w:rsidRDefault="00883777" w:rsidP="00CA3208">
      <w:pPr>
        <w:pStyle w:val="RSCI05CaptiontoFigureSchemeChartwithbottombar"/>
        <w:rPr>
          <w:w w:val="108"/>
        </w:rPr>
      </w:pPr>
      <w:r w:rsidRPr="00905DD7">
        <w:rPr>
          <w:b/>
          <w:w w:val="108"/>
        </w:rPr>
        <w:t xml:space="preserve">Figure </w:t>
      </w:r>
      <w:r w:rsidR="00093EF0">
        <w:rPr>
          <w:b/>
          <w:w w:val="108"/>
        </w:rPr>
        <w:t>4</w:t>
      </w:r>
      <w:r w:rsidRPr="00905DD7">
        <w:rPr>
          <w:b/>
          <w:w w:val="108"/>
        </w:rPr>
        <w:t>.</w:t>
      </w:r>
      <w:r w:rsidRPr="00905DD7">
        <w:rPr>
          <w:w w:val="108"/>
        </w:rPr>
        <w:t xml:space="preserve"> </w:t>
      </w:r>
      <w:r w:rsidRPr="00905DD7">
        <w:rPr>
          <w:w w:val="108"/>
          <w:vertAlign w:val="superscript"/>
        </w:rPr>
        <w:t>1</w:t>
      </w:r>
      <w:r w:rsidRPr="00905DD7">
        <w:rPr>
          <w:w w:val="108"/>
        </w:rPr>
        <w:t>H NMR spectra of neat glyme, G3, and solvate ionic liquids based on Al(</w:t>
      </w:r>
      <w:proofErr w:type="spellStart"/>
      <w:r w:rsidRPr="00905DD7">
        <w:rPr>
          <w:w w:val="108"/>
        </w:rPr>
        <w:t>OTf</w:t>
      </w:r>
      <w:proofErr w:type="spellEnd"/>
      <w:r w:rsidRPr="00905DD7">
        <w:rPr>
          <w:w w:val="108"/>
        </w:rPr>
        <w:t>)</w:t>
      </w:r>
      <w:r w:rsidRPr="00905DD7">
        <w:rPr>
          <w:w w:val="108"/>
          <w:vertAlign w:val="subscript"/>
        </w:rPr>
        <w:t>3</w:t>
      </w:r>
      <w:r w:rsidRPr="00905DD7">
        <w:rPr>
          <w:w w:val="108"/>
        </w:rPr>
        <w:t xml:space="preserve"> or Ga(</w:t>
      </w:r>
      <w:proofErr w:type="spellStart"/>
      <w:r w:rsidRPr="00905DD7">
        <w:rPr>
          <w:w w:val="108"/>
        </w:rPr>
        <w:t>OTf</w:t>
      </w:r>
      <w:proofErr w:type="spellEnd"/>
      <w:r w:rsidRPr="00905DD7">
        <w:rPr>
          <w:w w:val="108"/>
        </w:rPr>
        <w:t>)</w:t>
      </w:r>
      <w:r w:rsidRPr="00905DD7">
        <w:rPr>
          <w:w w:val="108"/>
          <w:vertAlign w:val="subscript"/>
        </w:rPr>
        <w:t>3</w:t>
      </w:r>
      <w:r w:rsidRPr="00905DD7">
        <w:rPr>
          <w:w w:val="108"/>
        </w:rPr>
        <w:t xml:space="preserve">, studied across three compositions: </w:t>
      </w:r>
      <w:proofErr w:type="spellStart"/>
      <w:r w:rsidRPr="00905DD7">
        <w:rPr>
          <w:i/>
          <w:iCs/>
          <w:w w:val="108"/>
        </w:rPr>
        <w:t>χ</w:t>
      </w:r>
      <w:r w:rsidRPr="00905DD7">
        <w:rPr>
          <w:w w:val="108"/>
          <w:vertAlign w:val="subscript"/>
        </w:rPr>
        <w:t>M</w:t>
      </w:r>
      <w:proofErr w:type="spellEnd"/>
      <w:r w:rsidRPr="00905DD7">
        <w:rPr>
          <w:w w:val="108"/>
          <w:vertAlign w:val="subscript"/>
        </w:rPr>
        <w:t>(</w:t>
      </w:r>
      <w:proofErr w:type="spellStart"/>
      <w:r w:rsidRPr="00905DD7">
        <w:rPr>
          <w:w w:val="108"/>
          <w:vertAlign w:val="subscript"/>
        </w:rPr>
        <w:t>OTf</w:t>
      </w:r>
      <w:proofErr w:type="spellEnd"/>
      <w:r w:rsidRPr="00905DD7">
        <w:rPr>
          <w:w w:val="108"/>
          <w:vertAlign w:val="subscript"/>
        </w:rPr>
        <w:t>)3</w:t>
      </w:r>
      <w:r w:rsidRPr="00905DD7">
        <w:rPr>
          <w:w w:val="108"/>
        </w:rPr>
        <w:t xml:space="preserve"> = 0.33, 0.25 and 0.09.  </w:t>
      </w:r>
    </w:p>
    <w:p w14:paraId="71847962" w14:textId="2838B777" w:rsidR="003C10AC" w:rsidRPr="00905DD7" w:rsidRDefault="003C10AC" w:rsidP="003C10AC">
      <w:pPr>
        <w:pStyle w:val="RSCB02ArticleText"/>
        <w:ind w:firstLine="284"/>
        <w:rPr>
          <w:lang w:val="en-GB"/>
        </w:rPr>
      </w:pPr>
      <w:r w:rsidRPr="00905DD7">
        <w:rPr>
          <w:vertAlign w:val="superscript"/>
          <w:lang w:val="en-GB"/>
        </w:rPr>
        <w:t>13</w:t>
      </w:r>
      <w:r w:rsidRPr="00905DD7">
        <w:rPr>
          <w:lang w:val="en-GB"/>
        </w:rPr>
        <w:t>C NMR spectra of the neat glyme and selected SILs (Figure</w:t>
      </w:r>
      <w:r w:rsidR="00A837DA">
        <w:rPr>
          <w:lang w:val="en-GB"/>
        </w:rPr>
        <w:t> </w:t>
      </w:r>
      <w:r w:rsidR="00317B1E">
        <w:rPr>
          <w:lang w:val="en-GB"/>
        </w:rPr>
        <w:t>5</w:t>
      </w:r>
      <w:r w:rsidRPr="00905DD7">
        <w:rPr>
          <w:lang w:val="en-GB"/>
        </w:rPr>
        <w:t>) present a slightly different image: in all SILs, signals corresponding to methylene carbon atoms (</w:t>
      </w:r>
      <w:r w:rsidRPr="00905DD7">
        <w:rPr>
          <w:i/>
          <w:iCs/>
          <w:lang w:val="en-GB"/>
        </w:rPr>
        <w:t>δ</w:t>
      </w:r>
      <w:r w:rsidRPr="00905DD7">
        <w:rPr>
          <w:vertAlign w:val="subscript"/>
          <w:lang w:val="en-GB"/>
        </w:rPr>
        <w:t>13C</w:t>
      </w:r>
      <w:r w:rsidRPr="00905DD7">
        <w:rPr>
          <w:lang w:val="en-GB"/>
        </w:rPr>
        <w:t xml:space="preserve"> = 66-72 ppm) are </w:t>
      </w:r>
      <w:proofErr w:type="spellStart"/>
      <w:r w:rsidRPr="00905DD7">
        <w:rPr>
          <w:lang w:val="en-GB"/>
        </w:rPr>
        <w:t>deshielded</w:t>
      </w:r>
      <w:proofErr w:type="spellEnd"/>
      <w:r w:rsidRPr="00905DD7">
        <w:rPr>
          <w:lang w:val="en-GB"/>
        </w:rPr>
        <w:t xml:space="preserve"> when compared to neat glyme (</w:t>
      </w:r>
      <w:r w:rsidRPr="00905DD7">
        <w:rPr>
          <w:i/>
          <w:iCs/>
          <w:lang w:val="en-GB"/>
        </w:rPr>
        <w:t>δ</w:t>
      </w:r>
      <w:r w:rsidRPr="00905DD7">
        <w:rPr>
          <w:vertAlign w:val="subscript"/>
          <w:lang w:val="en-GB"/>
        </w:rPr>
        <w:t>13C</w:t>
      </w:r>
      <w:r w:rsidRPr="00905DD7">
        <w:rPr>
          <w:lang w:val="en-GB"/>
        </w:rPr>
        <w:t xml:space="preserve"> = 70 - 72 ppm), but no changes are observed for the methyl group signals in neat glyme and in SILs (</w:t>
      </w:r>
      <w:r w:rsidRPr="00905DD7">
        <w:rPr>
          <w:i/>
          <w:iCs/>
          <w:lang w:val="en-GB"/>
        </w:rPr>
        <w:t>δ</w:t>
      </w:r>
      <w:r w:rsidRPr="00905DD7">
        <w:rPr>
          <w:vertAlign w:val="subscript"/>
          <w:lang w:val="en-GB"/>
        </w:rPr>
        <w:t>13C</w:t>
      </w:r>
      <w:r w:rsidRPr="00905DD7">
        <w:rPr>
          <w:lang w:val="en-GB"/>
        </w:rPr>
        <w:t xml:space="preserve"> = 58 ppm). The same observation was made by Aldous and co-workers in their study of SILs based on Li[NTf</w:t>
      </w:r>
      <w:r w:rsidRPr="00905DD7">
        <w:rPr>
          <w:vertAlign w:val="subscript"/>
          <w:lang w:val="en-GB"/>
        </w:rPr>
        <w:t>2</w:t>
      </w:r>
      <w:r w:rsidRPr="00905DD7">
        <w:rPr>
          <w:lang w:val="en-GB"/>
        </w:rPr>
        <w:t>] and several glymes.</w:t>
      </w:r>
      <w:r w:rsidRPr="00905DD7">
        <w:rPr>
          <w:lang w:val="en-GB"/>
        </w:rPr>
        <w:fldChar w:fldCharType="begin" w:fldLock="1"/>
      </w:r>
      <w:r w:rsidR="0026470D">
        <w:rPr>
          <w:lang w:val="en-GB"/>
        </w:rPr>
        <w:instrText>ADDIN CSL_CITATION {"citationItems":[{"id":"ITEM-1","itemData":{"DOI":"10.1039/c8cp02527d","ISSN":"14639076","PMID":"29873357","abstract":"Solvate ionic liquids are a relatively new class of liquids produced by combining a coordinating solvent with a salt. They have a variety of uses and their suitability for such depends upon the ratio of salt to coordinating solvent. This work investigates the Kamlet-Taft solvent parameters of, NMR chemical shifts of nuclei in, and thermoelectrochemistry of a selected set of solvate ionic liquids produced from glymes (methyl terminated oligomers of ethylene glycol) and lithium bis(trifluoromethylsulfonyl)imide at two different compositions. The aim is to improve the understanding of the interactions occurring in these ionic liquids to help select suitable solvate ionic liquids for future applications.","author":[{"dropping-particle":"","family":"Black","given":"Jeffrey J.","non-dropping-particle":"","parse-names":false,"suffix":""},{"dropping-particle":"","family":"Dolan","given":"Andrew","non-dropping-particle":"","parse-names":false,"suffix":""},{"dropping-particle":"","family":"Harper","given":"Jason B.","non-dropping-particle":"","parse-names":false,"suffix":""},{"dropping-particle":"","family":"Aldous","given":"Leigh","non-dropping-particle":"","parse-names":false,"suffix":""}],"container-title":"Physical Chemistry Chemical Physics","id":"ITEM-1","issue":"24","issued":{"date-parts":[["2018"]]},"page":"16558-16567","publisher":"Royal Society of Chemistry","title":"Kamlet-Taft solvent parameters, NMR spectroscopic analysis and thermoelectrochemistry of lithium-glyme solvate ionic liquids and their dilute solutions","type":"article-journal","volume":"20"},"uris":["http://www.mendeley.com/documents/?uuid=966ceb8e-d802-4e6b-b014-1f7ac01d3970"]}],"mendeley":{"formattedCitation":"&lt;sup&gt;49&lt;/sup&gt;","plainTextFormattedCitation":"49","previouslyFormattedCitation":"&lt;sup&gt;49&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49</w:t>
      </w:r>
      <w:r w:rsidRPr="00905DD7">
        <w:rPr>
          <w:lang w:val="en-GB"/>
        </w:rPr>
        <w:fldChar w:fldCharType="end"/>
      </w:r>
      <w:r w:rsidRPr="00905DD7">
        <w:rPr>
          <w:lang w:val="en-GB"/>
        </w:rPr>
        <w:t xml:space="preserve"> Quartets in the </w:t>
      </w:r>
      <w:r w:rsidRPr="00905DD7">
        <w:rPr>
          <w:vertAlign w:val="superscript"/>
          <w:lang w:val="en-GB"/>
        </w:rPr>
        <w:t>13</w:t>
      </w:r>
      <w:r w:rsidRPr="00905DD7">
        <w:rPr>
          <w:lang w:val="en-GB"/>
        </w:rPr>
        <w:t>C NMR spectra of SILs, arising from CF</w:t>
      </w:r>
      <w:r w:rsidRPr="00905DD7">
        <w:rPr>
          <w:vertAlign w:val="subscript"/>
          <w:lang w:val="en-GB"/>
        </w:rPr>
        <w:t>3</w:t>
      </w:r>
      <w:r w:rsidRPr="00905DD7">
        <w:rPr>
          <w:lang w:val="en-GB"/>
        </w:rPr>
        <w:t xml:space="preserve"> groups in triflates, are found at </w:t>
      </w:r>
      <w:bookmarkStart w:id="7" w:name="_Hlk174393734"/>
      <w:r w:rsidRPr="00905DD7">
        <w:rPr>
          <w:i/>
          <w:iCs/>
          <w:lang w:val="en-GB"/>
        </w:rPr>
        <w:t>δ</w:t>
      </w:r>
      <w:bookmarkEnd w:id="7"/>
      <w:r w:rsidRPr="00905DD7">
        <w:rPr>
          <w:vertAlign w:val="subscript"/>
          <w:lang w:val="en-GB"/>
        </w:rPr>
        <w:t>13C</w:t>
      </w:r>
      <w:r w:rsidRPr="00905DD7">
        <w:rPr>
          <w:lang w:val="en-GB"/>
        </w:rPr>
        <w:t xml:space="preserve"> = </w:t>
      </w:r>
      <w:r w:rsidRPr="00905DD7">
        <w:rPr>
          <w:i/>
          <w:iCs/>
          <w:lang w:val="en-GB"/>
        </w:rPr>
        <w:t>ca</w:t>
      </w:r>
      <w:r w:rsidRPr="00905DD7">
        <w:rPr>
          <w:lang w:val="en-GB"/>
        </w:rPr>
        <w:t>. 119.5 ppm, which correspond to bound anions.</w:t>
      </w:r>
      <w:r w:rsidRPr="00905DD7">
        <w:rPr>
          <w:lang w:val="en-GB"/>
        </w:rPr>
        <w:fldChar w:fldCharType="begin" w:fldLock="1"/>
      </w:r>
      <w:r w:rsidR="0026470D">
        <w:rPr>
          <w:lang w:val="en-GB"/>
        </w:rPr>
        <w:instrText>ADDIN CSL_CITATION {"citationItems":[{"id":"ITEM-1","itemData":{"DOI":"10.1134/S1070428010030140","ISSN":"10704280","abstract":"Trifluoromethanesulfonate, trifluoromethylsulfonylimide, and bis(trifluoromethylsulfonyl)imide salts and ionic liquids were synthesized from 2,3,4,6,7,8,9,10-octahydropyrimido[1,2-a]azepine (1,8-diazabicyclo[5.4.0]undec- 7-ene) and 2,3,4,6,7,8-hexahydropyrrolo[1,2-a]pyrimidine (1,5-diazabicyclo[4.3. 0]non-5-ene). Their physicochemical properties, spectral parameters, and some chemical transformations were studied. © 2010 Pleiades Publishing, Ltd.","author":[{"dropping-particle":"","family":"Tolstikova","given":"L. L.","non-dropping-particle":"","parse-names":false,"suffix":""},{"dropping-particle":"V.","family":"Bel'Skikh","given":"A.","non-dropping-particle":"","parse-names":false,"suffix":""},{"dropping-particle":"","family":"Shainyan","given":"B. A.","non-dropping-particle":"","parse-names":false,"suffix":""}],"container-title":"Russian Journal of Organic Chemistry","id":"ITEM-1","issue":"3","issued":{"date-parts":[["2010","3","24"]]},"page":"383-388","publisher":"Springer","title":"Trifluoromethanesulfonate, trifluromethylsulfonylimide, and bis(trifluoromethylsulfonyl)imide salts and ionic liquids based on 1,8-diazabicyclo[5.4.0]undec-7-ene and 1,5-diazabicyclo[ 4.3.0]non-5-ene","type":"article-journal","volume":"46"},"uris":["http://www.mendeley.com/documents/?uuid=25ce12d6-8e2c-385d-b9fe-8827bbf4e735"]},{"id":"ITEM-2","itemData":{"DOI":"10.1016/j.eti.2023.103164","ISSN":"23521864","abstract":"In this work heterogeneous catalysts based on hybrid materials consisted of calcium and/or magnesium silicates and modern task-specific ionic liquids (supported ionic liquid phase material) dedicated particularly for continuous flow synthesis of fine chemicals with liquid reagents were designed. Pure SiO2 (as a reference sample), as well as magnesium (MgO-SiO2) or calcium (CaO-SiO2) silicates were used as supports for Lewis acidic trifloaluminate ionic liquids immobilized via chemical bound. The lowest ionic liquid loading was determined for SiO2 (15.58 wt%) and the highest for CaO-SiO2 (23.70 wt%). Resulted catalysts were used for the optimization of process parameters of the synthesis of β-amino alcohols in batch reactor (molar ratio aniline: styrene oxide 1.1:1; 1 mol% of catalyst, 60 °C). Not only the most active (conversion of styrene oxide 100.0% and selectivity to main product 98.7%) but also stable in 3 cycles of the process was the catalyst based on MgO-SiO2. The activity of poorly recyclable precursor of ionic liquid used as an active phase Al(OTf)3 was also lower (conversion 87.3% and selectivity 94.6%). Substrate scope confirmed the versatility of this method. The key achievement of the research was the confirmation of activity and stability of the most active catalyst in batch process for the aminolysis of epoxide in the presence of heterogeneous catalyst based on MgO-SiO2 in flow system through 72 h (conversion 81.1%, selectivity 95.9%). The proof of concept for the design of this catalytic system for production of selected fine chemicals is shown in this study.","author":[{"dropping-particle":"","family":"Latos","given":"Piotr","non-dropping-particle":"","parse-names":false,"suffix":""},{"dropping-particle":"","family":"Wolny","given":"Anna","non-dropping-particle":"","parse-names":false,"suffix":""},{"dropping-particle":"","family":"Zdarta","given":"Jakub","non-dropping-particle":"","parse-names":false,"suffix":""},{"dropping-particle":"","family":"Ciesielczyk","given":"Filip","non-dropping-particle":"","parse-names":false,"suffix":""},{"dropping-particle":"","family":"Jurczyk","given":"Sebastian","non-dropping-particle":"","parse-names":false,"suffix":""},{"dropping-particle":"","family":"Jesionowski","given":"Teofil","non-dropping-particle":"","parse-names":false,"suffix":""},{"dropping-particle":"","family":"Chrobok","given":"Anna","non-dropping-particle":"","parse-names":false,"suffix":""}],"container-title":"Environmental Technology and Innovation","id":"ITEM-2","issued":{"date-parts":[["2023","8","1"]]},"page":"103164","publisher":"Elsevier","title":"Highly stable Lewis acidic trifloaluminate ionic liquid supported on silica and metallosilicates as an efficient catalyst for continuous flow aminolysis of epoxides","type":"article-journal","volume":"31"},"uris":["http://www.mendeley.com/documents/?uuid=7b00eacb-0ccb-3380-8fd2-733ae316dcd5"]}],"mendeley":{"formattedCitation":"&lt;sup&gt;51,52&lt;/sup&gt;","plainTextFormattedCitation":"51,52","previouslyFormattedCitation":"&lt;sup&gt;51,52&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51,52</w:t>
      </w:r>
      <w:r w:rsidRPr="00905DD7">
        <w:rPr>
          <w:lang w:val="en-GB"/>
        </w:rPr>
        <w:fldChar w:fldCharType="end"/>
      </w:r>
    </w:p>
    <w:p w14:paraId="6E11C43D" w14:textId="57043BC8" w:rsidR="00D5609C" w:rsidRPr="00905DD7" w:rsidRDefault="00D5609C" w:rsidP="000E2B3F">
      <w:pPr>
        <w:pStyle w:val="RSCI02FigureSchemeChartwithtopbar"/>
      </w:pPr>
      <w:r w:rsidRPr="00905DD7">
        <w:rPr>
          <w:noProof/>
        </w:rPr>
        <w:lastRenderedPageBreak/>
        <w:drawing>
          <wp:inline distT="0" distB="0" distL="0" distR="0" wp14:anchorId="7D05C8EB" wp14:editId="38B04793">
            <wp:extent cx="3146769" cy="2189182"/>
            <wp:effectExtent l="0" t="0" r="3175" b="0"/>
            <wp:docPr id="1585943834" name="Obraz 1" descr="Obraz zawierający tekst, zrzut ekranu,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43834" name="Obraz 1" descr="Obraz zawierający tekst, zrzut ekranu, linia, diagram&#10;&#10;Opis wygenerowany automatycznie"/>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154158" cy="2194323"/>
                    </a:xfrm>
                    <a:prstGeom prst="rect">
                      <a:avLst/>
                    </a:prstGeom>
                    <a:noFill/>
                  </pic:spPr>
                </pic:pic>
              </a:graphicData>
            </a:graphic>
          </wp:inline>
        </w:drawing>
      </w:r>
    </w:p>
    <w:p w14:paraId="69C9E3C6" w14:textId="465B59C0" w:rsidR="00883777" w:rsidRDefault="00883777" w:rsidP="00F63B45">
      <w:pPr>
        <w:pStyle w:val="RSCI05CaptiontoFigureSchemeChartwithbottombar"/>
      </w:pPr>
      <w:r w:rsidRPr="00905DD7">
        <w:rPr>
          <w:b/>
        </w:rPr>
        <w:t xml:space="preserve">Figure </w:t>
      </w:r>
      <w:r w:rsidR="00093EF0">
        <w:rPr>
          <w:b/>
        </w:rPr>
        <w:t>5</w:t>
      </w:r>
      <w:r w:rsidRPr="00905DD7">
        <w:rPr>
          <w:b/>
        </w:rPr>
        <w:t>.</w:t>
      </w:r>
      <w:r w:rsidRPr="00905DD7">
        <w:rPr>
          <w:vertAlign w:val="superscript"/>
        </w:rPr>
        <w:t xml:space="preserve"> 13</w:t>
      </w:r>
      <w:r w:rsidRPr="00905DD7">
        <w:t>C NMR spectra of neat glyme, G3, and solvate ionic liquids based on Al(</w:t>
      </w:r>
      <w:proofErr w:type="spellStart"/>
      <w:r w:rsidRPr="00905DD7">
        <w:t>OTf</w:t>
      </w:r>
      <w:proofErr w:type="spellEnd"/>
      <w:r w:rsidRPr="00905DD7">
        <w:t>)</w:t>
      </w:r>
      <w:r w:rsidRPr="00905DD7">
        <w:rPr>
          <w:vertAlign w:val="subscript"/>
        </w:rPr>
        <w:t>3</w:t>
      </w:r>
      <w:r w:rsidRPr="00905DD7">
        <w:t xml:space="preserve"> or Ga(</w:t>
      </w:r>
      <w:proofErr w:type="spellStart"/>
      <w:r w:rsidRPr="00905DD7">
        <w:t>OTf</w:t>
      </w:r>
      <w:proofErr w:type="spellEnd"/>
      <w:r w:rsidRPr="00905DD7">
        <w:t>)</w:t>
      </w:r>
      <w:r w:rsidRPr="00905DD7">
        <w:rPr>
          <w:vertAlign w:val="subscript"/>
        </w:rPr>
        <w:t>3</w:t>
      </w:r>
      <w:r w:rsidRPr="00905DD7">
        <w:t xml:space="preserve">, studied across three compositions: </w:t>
      </w:r>
      <w:proofErr w:type="spellStart"/>
      <w:r w:rsidRPr="00905DD7">
        <w:t>χM</w:t>
      </w:r>
      <w:proofErr w:type="spellEnd"/>
      <w:r w:rsidRPr="00905DD7">
        <w:t>(</w:t>
      </w:r>
      <w:proofErr w:type="spellStart"/>
      <w:r w:rsidRPr="00905DD7">
        <w:t>OTf</w:t>
      </w:r>
      <w:proofErr w:type="spellEnd"/>
      <w:r w:rsidRPr="00905DD7">
        <w:t>)</w:t>
      </w:r>
      <w:r w:rsidRPr="00905DD7">
        <w:rPr>
          <w:vertAlign w:val="subscript"/>
        </w:rPr>
        <w:t>3</w:t>
      </w:r>
      <w:r w:rsidRPr="00905DD7">
        <w:t xml:space="preserve">   = 0.33, 0.25 and 0.09.  </w:t>
      </w:r>
    </w:p>
    <w:p w14:paraId="5D51BE85" w14:textId="7CFD66CC" w:rsidR="00D82770" w:rsidRPr="00905DD7" w:rsidRDefault="00D82770" w:rsidP="000E2B3F">
      <w:pPr>
        <w:pStyle w:val="RSCB02ArticleText"/>
        <w:ind w:firstLine="284"/>
      </w:pPr>
      <w:r w:rsidRPr="00905DD7">
        <w:rPr>
          <w:vertAlign w:val="superscript"/>
          <w:lang w:val="en-GB"/>
        </w:rPr>
        <w:t>27</w:t>
      </w:r>
      <w:r w:rsidRPr="00905DD7">
        <w:rPr>
          <w:lang w:val="en-GB"/>
        </w:rPr>
        <w:t>Al NMR spectra</w:t>
      </w:r>
      <w:r>
        <w:rPr>
          <w:lang w:val="en-GB"/>
        </w:rPr>
        <w:t xml:space="preserve">, </w:t>
      </w:r>
      <w:r w:rsidRPr="00905DD7">
        <w:rPr>
          <w:lang w:val="en-GB"/>
        </w:rPr>
        <w:t xml:space="preserve">recoded for Al-containing SILs (Figure </w:t>
      </w:r>
      <w:r w:rsidR="00317B1E">
        <w:rPr>
          <w:lang w:val="en-GB"/>
        </w:rPr>
        <w:t>6</w:t>
      </w:r>
      <w:r w:rsidRPr="00905DD7">
        <w:rPr>
          <w:lang w:val="en-GB"/>
        </w:rPr>
        <w:t>)</w:t>
      </w:r>
      <w:r>
        <w:rPr>
          <w:lang w:val="en-GB"/>
        </w:rPr>
        <w:t xml:space="preserve">, all </w:t>
      </w:r>
      <w:r w:rsidRPr="00905DD7">
        <w:rPr>
          <w:lang w:val="en-GB"/>
        </w:rPr>
        <w:t xml:space="preserve">featured a group of signals between </w:t>
      </w:r>
      <w:r w:rsidRPr="00905DD7">
        <w:rPr>
          <w:lang w:val="en-GB"/>
        </w:rPr>
        <w:noBreakHyphen/>
        <w:t xml:space="preserve">13 and </w:t>
      </w:r>
      <w:r>
        <w:rPr>
          <w:lang w:val="en-GB"/>
        </w:rPr>
        <w:t>0</w:t>
      </w:r>
      <w:r w:rsidRPr="00905DD7">
        <w:rPr>
          <w:lang w:val="en-GB"/>
        </w:rPr>
        <w:t xml:space="preserve"> ppm</w:t>
      </w:r>
      <w:r>
        <w:rPr>
          <w:lang w:val="en-GB"/>
        </w:rPr>
        <w:t xml:space="preserve"> </w:t>
      </w:r>
      <w:r w:rsidRPr="00905DD7">
        <w:rPr>
          <w:lang w:val="en-GB"/>
        </w:rPr>
        <w:t>corresponding to six-coordinate Al species, in oxygen coordination environment.</w:t>
      </w:r>
      <w:r w:rsidR="000E2B3F">
        <w:rPr>
          <w:lang w:val="en-GB"/>
        </w:rPr>
        <w:fldChar w:fldCharType="begin" w:fldLock="1"/>
      </w:r>
      <w:r w:rsidR="0026470D">
        <w:rPr>
          <w:lang w:val="en-GB"/>
        </w:rPr>
        <w:instrText>ADDIN CSL_CITATION {"citationItems":[{"id":"ITEM-1","itemData":{"DOI":"10.1021/JA00276A069/SUPPL_FILE/JA00276A069_SI_001.PDF","ISSN":"15205126","author":[{"dropping-particle":"","family":"Finnegan","given":"Martin M.","non-dropping-particle":"","parse-names":false,"suffix":""},{"dropping-particle":"","family":"Rettig","given":"Steven J.","non-dropping-particle":"","parse-names":false,"suffix":""},{"dropping-particle":"","family":"Orvig","given":"Chris","non-dropping-particle":"","parse-names":false,"suffix":""}],"container-title":"Journal of the American Chemical Society","id":"ITEM-1","issue":"16","issued":{"date-parts":[["1986"]]},"page":"5033-5035","publisher":" American Chemical Society ","title":"A Neutral Water-Soluble Aluminum Complex of Neurological Interest","type":"article-journal","volume":"108"},"uris":["http://www.mendeley.com/documents/?uuid=196c562f-d122-4d75-bc0e-36ec202878af"]}],"mendeley":{"formattedCitation":"&lt;sup&gt;53&lt;/sup&gt;","plainTextFormattedCitation":"53","previouslyFormattedCitation":"&lt;sup&gt;53&lt;/sup&gt;"},"properties":{"noteIndex":0},"schema":"https://github.com/citation-style-language/schema/raw/master/csl-citation.json"}</w:instrText>
      </w:r>
      <w:r w:rsidR="000E2B3F">
        <w:rPr>
          <w:lang w:val="en-GB"/>
        </w:rPr>
        <w:fldChar w:fldCharType="separate"/>
      </w:r>
      <w:r w:rsidR="0026470D" w:rsidRPr="0026470D">
        <w:rPr>
          <w:noProof/>
          <w:vertAlign w:val="superscript"/>
          <w:lang w:val="en-GB"/>
        </w:rPr>
        <w:t>53</w:t>
      </w:r>
      <w:r w:rsidR="000E2B3F">
        <w:rPr>
          <w:lang w:val="en-GB"/>
        </w:rPr>
        <w:fldChar w:fldCharType="end"/>
      </w:r>
      <w:r w:rsidR="000E2B3F">
        <w:rPr>
          <w:lang w:val="en-GB"/>
        </w:rPr>
        <w:t xml:space="preserve"> </w:t>
      </w:r>
      <w:r w:rsidRPr="00905DD7">
        <w:rPr>
          <w:lang w:val="en-GB"/>
        </w:rPr>
        <w:t xml:space="preserve">Multiple signals suggest co-existence of several coordination environments of aluminium, in a manner resembling the coordination environment of </w:t>
      </w:r>
      <w:proofErr w:type="spellStart"/>
      <w:r w:rsidRPr="00905DD7">
        <w:rPr>
          <w:lang w:val="en-GB"/>
        </w:rPr>
        <w:t>trifloaluminate</w:t>
      </w:r>
      <w:proofErr w:type="spellEnd"/>
      <w:r w:rsidRPr="00905DD7">
        <w:rPr>
          <w:lang w:val="en-GB"/>
        </w:rPr>
        <w:t xml:space="preserve"> ionic liquids.</w:t>
      </w:r>
      <w:r w:rsidRPr="00905DD7">
        <w:fldChar w:fldCharType="begin" w:fldLock="1"/>
      </w:r>
      <w:r w:rsidR="0026470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12&lt;/sup&gt;","plainTextFormattedCitation":"12","previouslyFormattedCitation":"&lt;sup&gt;12&lt;/sup&gt;"},"properties":{"noteIndex":0},"schema":"https://github.com/citation-style-language/schema/raw/master/csl-citation.json"}</w:instrText>
      </w:r>
      <w:r w:rsidRPr="00905DD7">
        <w:fldChar w:fldCharType="separate"/>
      </w:r>
      <w:r w:rsidR="0026470D" w:rsidRPr="0026470D">
        <w:rPr>
          <w:noProof/>
          <w:vertAlign w:val="superscript"/>
          <w:lang w:val="en-GB"/>
        </w:rPr>
        <w:t>12</w:t>
      </w:r>
      <w:r w:rsidRPr="00905DD7">
        <w:fldChar w:fldCharType="end"/>
      </w:r>
      <w:r w:rsidRPr="00905DD7">
        <w:rPr>
          <w:lang w:val="en-GB"/>
        </w:rPr>
        <w:t xml:space="preserve"> There were no signals corresponding to tetrahedral (40 - 140 ppm), or pentacoordinate (25 - 60 ppm) aluminium environments,</w:t>
      </w:r>
      <w:r w:rsidRPr="00905DD7">
        <w:fldChar w:fldCharType="begin" w:fldLock="1"/>
      </w:r>
      <w:r w:rsidR="0026470D">
        <w:rPr>
          <w:lang w:val="en-GB"/>
        </w:rPr>
        <w:instrText>ADDIN CSL_CITATION {"citationItems":[{"id":"ITEM-1","itemData":{"DOI":"10.1021/ja00218a037","ISSN":"15205126","abstract":"Anhydrous aluminum trichloride or bromide when heated in a 2:1 molar ratio with aluminum powder as a suspension in dry n-heptane or methylcyclohexane was found to be partially reduced to aluminum dichloride or dibromide. Ultrasound treatment (sonication) significantly promotes the reaction. Aluminum dichloride in higher purity was obtained by the reaction of gaseous aluminum trichloride with aluminum metal in a high-vacuum reactor, allowing subsequent investigation by IR spectroscopy. An aluminum sub-halide of the form Al2(i-Bu)4-xClx was also prepared through the reaction of tetraisobutyldialane and HCl at low temperature. Both materials were investigated by IR spectroscopy and compared to AlCl2 prepared and isolated through the codeposition of aluminum atoms and molecular chlorine in a solid argon matrix. The matrix study characterized AlCl2 together with AlCl and AlCl3, which were also formed in the system. The paramagnetic aluminum dihalides, i.e. AlCl2 and AlBr2, are associated in the condensed state (except under matrix isolation conditions where they are monomeric). An ESR study of the pyridinium complex of AlCl2 was carried out and showed its paramagnetic nature. In the present study, for simplicity, the reactions of aluminum dihalides are considered as those of the dimers but could involve higher associated oligomers. MNDO calculations on the heats of formation of several possible isomeric structures of Al2Cl4 indicate the preference for both halogen bridging and significant Al—Al bonding in the dimer. Reaction of AlCl3 + Al with ethylene, the Hall and Nash reaction, was reinvestigated by 13C and 27Al NMR spectroscopy. The reaction was found to give, besides ethylaluminum sesquichloride, 1,2-and 1,1-bis(dichloroaluminio)ethanes. Cyclohexene in a similar reaction gives, although less readily, 1,2-bis(dichloroaluminio)cyclohexane. The reactions are indicative of addition of (AlCl2)2 to the olefins. Alkyl-and arylaluminum monohalides are intermediately formed in the reaction of alkyl halides or halobenzenes with active aluminum powder. These divalent aluminum halides are also considered to be dimeric in nature and immediately react with excess of the alkyl (aryl) halides to form the corresponding sesquihalides. In contrast, aluminum dihalides formed in the aluminum trihalide—aluminum metal systems react with alkyl or aryl halides to give alkyl(aryl)aluminum dihalides. Sonication was found to significantly promote these reactions. © 1988, American …","author":[{"dropping-particle":"","family":"Olah","given":"George A.","non-dropping-particle":"","parse-names":false,"suffix":""},{"dropping-particle":"","family":"Farooq","given":"Omar","non-dropping-particle":"","parse-names":false,"suffix":""},{"dropping-particle":"","family":"Farnia","given":"S. Morteza F.","non-dropping-particle":"","parse-names":false,"suffix":""},{"dropping-particle":"","family":"Bruce","given":"Mark R.","non-dropping-particle":"","parse-names":false,"suffix":""},{"dropping-particle":"","family":"Clouet","given":"Francoise L.","non-dropping-particle":"","parse-names":false,"suffix":""},{"dropping-particle":"","family":"Morton","given":"Peter R.","non-dropping-particle":"","parse-names":false,"suffix":""},{"dropping-particle":"","family":"Surya Prakash","given":"G. K.","non-dropping-particle":"","parse-names":false,"suffix":""},{"dropping-particle":"","family":"Stevens","given":"Raymond C.","non-dropping-particle":"","parse-names":false,"suffix":""},{"dropping-particle":"","family":"Bau","given":"Robert","non-dropping-particle":"","parse-names":false,"suffix":""},{"dropping-particle":"","family":"Lammertsma","given":"Koop","non-dropping-particle":"","parse-names":false,"suffix":""},{"dropping-particle":"","family":"Suzer","given":"Sefik","non-dropping-particle":"","parse-names":false,"suffix":""},{"dropping-particle":"","family":"Andrews","given":"Lester","non-dropping-particle":"","parse-names":false,"suffix":""}],"container-title":"Journal of the American Chemical Society","id":"ITEM-1","issue":"10","issued":{"date-parts":[["1988"]]},"page":"3231-3238","publisher":" American Chemical Society ","title":"Aluminum Dichloride and Dibromide. Preparation, Spectroscopic (Including Matrix Isolation) Study, Reactions, and Role (Together with Alkyl(Aryl)Aluminum Monohalides) in the Preparation of Organoaluminum Compounds","type":"article-journal","volume":"110"},"uris":["http://www.mendeley.com/documents/?uuid=9f6a4f28-4c96-3545-8c22-abd19ac5eb6a"]},{"id":"ITEM-2","itemData":{"DOI":"10.1016/S0010-8545(98)00127-1","ISSN":"0010-8545","abstract":"In order to provide a foundation for continued work on group 13 cations as a class of distinct compounds, this overview will provide a classification system based upon the reactions that are used in their formation. The literature on the formation of aluminum cations is broad so the classification system will be developed with a focus on this element. However, in most cases the reaction types are of sufficient generality such that they can be applied to gallium and indium as well. In some instances the formation of gallium and indium cations occur through unique routes. In these cases new reaction types will be defined in the gallium and indium chemistry. At this point in time the interest in group 13 cations has largely been fundamental in nature. However, there is a growing awareness that these types of complexes maybe applicable to a wide range of Lewis acid mediated reactions and catalytic applications. Brief mention will be made of those that are currently known. © 1998 Elsevier Science S.A. All rights reserved.","author":[{"dropping-particle":"","family":"Atwood","given":"David A.","non-dropping-particle":"","parse-names":false,"suffix":""}],"container-title":"Coordination Chemistry Reviews","id":"ITEM-2","issue":"1","issued":{"date-parts":[["1998","9","1"]]},"page":"407-430","publisher":"Elsevier","title":"Cationic group 13 complexes","type":"article-journal","volume":"176"},"uris":["http://www.mendeley.com/documents/?uuid=5d034912-7169-3804-b2dd-27f8315dc5a2"]},{"id":"ITEM-3","itemData":{"DOI":"10.1021/JP810484J","ISSN":"19327447","abstract":"In the framework of density functional theory using periodic boundary conditions, 27Al nuclear magnetic resonance (NMR) parameters of 20 aluminum sites in 12 aluminum-containing crystalline oxides,...","author":[{"dropping-particle":"","family":"Choi","given":"Minseok","non-dropping-particle":"","parse-names":false,"suffix":""},{"dropping-particle":"","family":"Matsunaga","given":"Katsuyuki","non-dropping-particle":"","parse-names":false,"suffix":""},{"dropping-particle":"","family":"Oba","given":"Fumiyasu","non-dropping-particle":"","parse-names":false,"suffix":""},{"dropping-particle":"","family":"Tanaka","given":"Isao","non-dropping-particle":"","parse-names":false,"suffix":""}],"container-title":"Journal of Physical Chemistry C","id":"ITEM-3","issue":"9","issued":{"date-parts":[["2009","3","5"]]},"page":"3869-3873","publisher":" American Chemical Society","title":"27Al NMR Chemical Shifts in Oxide Crystals: A First-Principles Study","type":"article-journal","volume":"113"},"uris":["http://www.mendeley.com/documents/?uuid=25c82bcd-fc84-3792-b2bc-fb379fd46a6f"]},{"id":"ITEM-4","itemData":{"DOI":"10.1002/9781119951438.eibc0007.pub2","author":[{"dropping-particle":"","family":"Apblett","given":"Allen W.","non-dropping-particle":"","parse-names":false,"suffix":""}],"container-title":"Encyclopedia of Inorganic and Bioinorganic Chemistry","id":"ITEM-4","issued":{"date-parts":[["2012","12","17"]]},"publisher":"John Wiley &amp; Sons, Ltd","title":"Aluminum: Inorganic ChemistryUpdate based on the original article by Allen W. Apblett, Encyclopedia of Inorganic Chemistry Second Edition, © 2005, John Wiley &amp; Sons, Ltd.","type":"chapter"},"uris":["http://www.mendeley.com/documents/?uuid=9b9924b9-e802-30be-9fdc-8cfed0e75e67"]},{"id":"ITEM-5","itemData":{"DOI":"10.1039/C4CY01396D","ISSN":"2044-4761","abstract":"An aluminium triflate covalently grafted over MCM-41 (Al(TF)–MS catalyst) was synthesized by a novel route, aiming to generate enhanced surface acidity as compared to aluminosilicates and water-tolerant mesoporous solid acid catalysts for reactions producing water as a co-product. The synthesis strategy involves an equimolar reaction of triflic acid and aluminium isopropoxide, followed by treatment with MCM-41. The direct treatment of triflic acid with Al-grafted MCM-41 (Al–MCM-41) was also attempted to synthesize silica-supported aluminium triflate. The MCM-41-supported aluminium triflate and triflic acid were synthesized as standard samples for comparison. The catalytic potentials of the samples were studied for the ketalization of glycerol with acetone into solketal. The TGA and 27Al MAS NMR studies revealed the formation of aluminium triflate species on the silica surface in the Al(TF)–MS sample. The covalent grafting of the aluminium triflate species in the Al(TF)–MS sample was confirmed from catalysis and reusability tests, showing the stability of the aluminium triflate species against hydrolysis by water produced during the reaction. The solvent-free and selective conversion of glycerol to solketal at room temperature and the simple reusability of spent catalyst without any regeneration are some attractive features of Al(TF)–MS, making it a suitable catalyst for solketal synthesis.","author":[{"dropping-particle":"","family":"Tayade","given":"Kamlesh N.","non-dropping-particle":"","parse-names":false,"suffix":""},{"dropping-particle":"","family":"Mishra","given":"Manish","non-dropping-particle":"","parse-names":false,"suffix":""},{"dropping-particle":"","family":"Munusamy","given":"K.","non-dropping-particle":"","parse-names":false,"suffix":""},{"dropping-particle":"","family":"Somani","given":"Rajesh S.","non-dropping-particle":"","parse-names":false,"suffix":""}],"container-title":"Catalysis Science &amp; Technology","id":"ITEM-5","issue":"4","issued":{"date-parts":[["2015","3","24"]]},"page":"2427-2440","publisher":"The Royal Society of Chemistry","title":"Synthesis of aluminium triflate-grafted MCM-41 as a water-tolerant acid catalyst for the ketalization of glycerol with acetone","type":"article-journal","volume":"5"},"uris":["http://www.mendeley.com/documents/?uuid=8c221cc7-cae3-42a7-90e7-ff3707dc2a3c"]}],"mendeley":{"formattedCitation":"&lt;sup&gt;54–58&lt;/sup&gt;","plainTextFormattedCitation":"54–58","previouslyFormattedCitation":"&lt;sup&gt;54–58&lt;/sup&gt;"},"properties":{"noteIndex":0},"schema":"https://github.com/citation-style-language/schema/raw/master/csl-citation.json"}</w:instrText>
      </w:r>
      <w:r w:rsidRPr="00905DD7">
        <w:fldChar w:fldCharType="separate"/>
      </w:r>
      <w:r w:rsidR="0026470D" w:rsidRPr="0026470D">
        <w:rPr>
          <w:noProof/>
          <w:vertAlign w:val="superscript"/>
          <w:lang w:val="en-GB"/>
        </w:rPr>
        <w:t>54–58</w:t>
      </w:r>
      <w:r w:rsidRPr="00905DD7">
        <w:fldChar w:fldCharType="end"/>
      </w:r>
      <w:r w:rsidRPr="00905DD7">
        <w:rPr>
          <w:lang w:val="en-GB"/>
        </w:rPr>
        <w:t xml:space="preserve"> which is unsurprising given the excess of </w:t>
      </w:r>
      <w:r w:rsidRPr="00905DD7">
        <w:rPr>
          <w:i/>
          <w:iCs/>
          <w:lang w:val="en-GB"/>
        </w:rPr>
        <w:t>O</w:t>
      </w:r>
      <w:r w:rsidRPr="00905DD7">
        <w:rPr>
          <w:lang w:val="en-GB"/>
        </w:rPr>
        <w:noBreakHyphen/>
        <w:t xml:space="preserve">donors available in each sample. Samples with higher concentrations of </w:t>
      </w:r>
      <w:r w:rsidRPr="00905DD7">
        <w:rPr>
          <w:vertAlign w:val="superscript"/>
          <w:lang w:val="en-GB"/>
        </w:rPr>
        <w:t>27</w:t>
      </w:r>
      <w:r w:rsidRPr="00905DD7">
        <w:rPr>
          <w:lang w:val="en-GB"/>
        </w:rPr>
        <w:t xml:space="preserve">Al featured in their spectra a broad signal at </w:t>
      </w:r>
      <w:r w:rsidRPr="00905DD7">
        <w:rPr>
          <w:i/>
          <w:iCs/>
          <w:lang w:val="en-GB"/>
        </w:rPr>
        <w:t>ca</w:t>
      </w:r>
      <w:r w:rsidRPr="00905DD7">
        <w:rPr>
          <w:lang w:val="en-GB"/>
        </w:rPr>
        <w:t>. 75 ppm, attributable to the NMR probe.</w:t>
      </w:r>
      <w:r w:rsidRPr="00905DD7">
        <w:fldChar w:fldCharType="begin" w:fldLock="1"/>
      </w:r>
      <w:r w:rsidR="0026470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12&lt;/sup&gt;","plainTextFormattedCitation":"12","previouslyFormattedCitation":"&lt;sup&gt;12&lt;/sup&gt;"},"properties":{"noteIndex":0},"schema":"https://github.com/citation-style-language/schema/raw/master/csl-citation.json"}</w:instrText>
      </w:r>
      <w:r w:rsidRPr="00905DD7">
        <w:fldChar w:fldCharType="separate"/>
      </w:r>
      <w:r w:rsidR="0026470D" w:rsidRPr="0026470D">
        <w:rPr>
          <w:noProof/>
          <w:vertAlign w:val="superscript"/>
          <w:lang w:val="en-GB"/>
        </w:rPr>
        <w:t>12</w:t>
      </w:r>
      <w:r w:rsidRPr="00905DD7">
        <w:fldChar w:fldCharType="end"/>
      </w:r>
    </w:p>
    <w:p w14:paraId="10101F93" w14:textId="77777777" w:rsidR="00F71F8F" w:rsidRPr="00905DD7" w:rsidRDefault="00F71F8F" w:rsidP="000E2B3F">
      <w:pPr>
        <w:pStyle w:val="RSCI02FigureSchemeChartwithtopbar"/>
      </w:pPr>
      <w:r w:rsidRPr="00905DD7">
        <w:rPr>
          <w:noProof/>
        </w:rPr>
        <w:drawing>
          <wp:inline distT="0" distB="0" distL="0" distR="0" wp14:anchorId="455A96BC" wp14:editId="69B6B13C">
            <wp:extent cx="3153422" cy="2183802"/>
            <wp:effectExtent l="0" t="0" r="0" b="635"/>
            <wp:docPr id="596791142" name="Obraz 2" descr="Obraz zawierający tekst, zrzut ekranu, lini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791142" name="Obraz 2" descr="Obraz zawierający tekst, zrzut ekranu, linia, Wykre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61376" cy="2189310"/>
                    </a:xfrm>
                    <a:prstGeom prst="rect">
                      <a:avLst/>
                    </a:prstGeom>
                  </pic:spPr>
                </pic:pic>
              </a:graphicData>
            </a:graphic>
          </wp:inline>
        </w:drawing>
      </w:r>
    </w:p>
    <w:p w14:paraId="55980DE9" w14:textId="3B4D21E9" w:rsidR="00F71F8F" w:rsidRPr="00905DD7" w:rsidRDefault="00F71F8F" w:rsidP="00A837DA">
      <w:pPr>
        <w:pStyle w:val="RSCI05CaptiontoFigureSchemeChartwithbottombar"/>
      </w:pPr>
      <w:r w:rsidRPr="00905DD7">
        <w:rPr>
          <w:b/>
        </w:rPr>
        <w:t xml:space="preserve">Figure </w:t>
      </w:r>
      <w:r w:rsidR="00093EF0">
        <w:rPr>
          <w:b/>
        </w:rPr>
        <w:t>6</w:t>
      </w:r>
      <w:r w:rsidRPr="00905DD7">
        <w:t xml:space="preserve">. </w:t>
      </w:r>
      <w:r w:rsidRPr="00905DD7">
        <w:rPr>
          <w:vertAlign w:val="superscript"/>
        </w:rPr>
        <w:t>27</w:t>
      </w:r>
      <w:r w:rsidRPr="00905DD7">
        <w:t>Al NMR spectra of Al(NO</w:t>
      </w:r>
      <w:r w:rsidRPr="00905DD7">
        <w:rPr>
          <w:vertAlign w:val="subscript"/>
        </w:rPr>
        <w:t>3</w:t>
      </w:r>
      <w:r w:rsidRPr="00905DD7">
        <w:t>)</w:t>
      </w:r>
      <w:r w:rsidRPr="00905DD7">
        <w:rPr>
          <w:vertAlign w:val="subscript"/>
        </w:rPr>
        <w:t>3</w:t>
      </w:r>
      <w:r w:rsidRPr="00905DD7">
        <w:t xml:space="preserve"> in D</w:t>
      </w:r>
      <w:r w:rsidRPr="00905DD7">
        <w:rPr>
          <w:vertAlign w:val="subscript"/>
        </w:rPr>
        <w:t>2</w:t>
      </w:r>
      <w:r w:rsidRPr="00905DD7">
        <w:t xml:space="preserve">O, and a full series of Al-SILs compositions, </w:t>
      </w:r>
      <w:r w:rsidRPr="00905DD7">
        <w:rPr>
          <w:i/>
          <w:iCs/>
        </w:rPr>
        <w:t>χ</w:t>
      </w:r>
      <w:r w:rsidRPr="00905DD7">
        <w:rPr>
          <w:vertAlign w:val="subscript"/>
        </w:rPr>
        <w:t>Al(</w:t>
      </w:r>
      <w:proofErr w:type="spellStart"/>
      <w:r w:rsidRPr="00905DD7">
        <w:rPr>
          <w:vertAlign w:val="subscript"/>
        </w:rPr>
        <w:t>OTf</w:t>
      </w:r>
      <w:proofErr w:type="spellEnd"/>
      <w:r w:rsidRPr="00905DD7">
        <w:rPr>
          <w:vertAlign w:val="subscript"/>
        </w:rPr>
        <w:t>)3</w:t>
      </w:r>
      <w:r w:rsidRPr="00905DD7">
        <w:t> = 0.33-0.09.</w:t>
      </w:r>
    </w:p>
    <w:p w14:paraId="568FEC5C" w14:textId="43322AEE" w:rsidR="00F71F8F" w:rsidRPr="00905DD7" w:rsidRDefault="00255A4F" w:rsidP="00633788">
      <w:pPr>
        <w:pStyle w:val="RSCB02ArticleText"/>
        <w:rPr>
          <w:lang w:val="en-GB"/>
        </w:rPr>
      </w:pPr>
      <w:r>
        <w:rPr>
          <w:lang w:val="en-GB"/>
        </w:rPr>
        <w:tab/>
      </w:r>
      <w:r w:rsidR="00F71F8F" w:rsidRPr="00905DD7">
        <w:rPr>
          <w:lang w:val="en-GB"/>
        </w:rPr>
        <w:t>Ga-SILs (</w:t>
      </w:r>
      <w:proofErr w:type="spellStart"/>
      <w:r w:rsidR="00F71F8F" w:rsidRPr="00905DD7">
        <w:rPr>
          <w:i/>
          <w:iCs/>
          <w:lang w:val="en-GB"/>
        </w:rPr>
        <w:t>χ</w:t>
      </w:r>
      <w:r w:rsidR="00F71F8F" w:rsidRPr="00905DD7">
        <w:rPr>
          <w:vertAlign w:val="subscript"/>
          <w:lang w:val="en-GB"/>
        </w:rPr>
        <w:t>Ga</w:t>
      </w:r>
      <w:proofErr w:type="spellEnd"/>
      <w:r w:rsidR="00F71F8F" w:rsidRPr="00905DD7">
        <w:rPr>
          <w:vertAlign w:val="subscript"/>
          <w:lang w:val="en-GB"/>
        </w:rPr>
        <w:t>(</w:t>
      </w:r>
      <w:proofErr w:type="spellStart"/>
      <w:r w:rsidR="00F71F8F" w:rsidRPr="00905DD7">
        <w:rPr>
          <w:vertAlign w:val="subscript"/>
          <w:lang w:val="en-GB"/>
        </w:rPr>
        <w:t>OTf</w:t>
      </w:r>
      <w:proofErr w:type="spellEnd"/>
      <w:r w:rsidR="00F71F8F" w:rsidRPr="00905DD7">
        <w:rPr>
          <w:vertAlign w:val="subscript"/>
          <w:lang w:val="en-GB"/>
        </w:rPr>
        <w:t>)3</w:t>
      </w:r>
      <w:r w:rsidR="00F71F8F" w:rsidRPr="00905DD7">
        <w:rPr>
          <w:i/>
          <w:iCs/>
          <w:lang w:val="en-GB"/>
        </w:rPr>
        <w:t xml:space="preserve"> </w:t>
      </w:r>
      <w:r w:rsidR="00F71F8F" w:rsidRPr="00905DD7">
        <w:rPr>
          <w:lang w:val="en-GB"/>
        </w:rPr>
        <w:t>= 0.33</w:t>
      </w:r>
      <w:r w:rsidR="00DF4A39" w:rsidRPr="00905DD7">
        <w:rPr>
          <w:lang w:val="en-GB"/>
        </w:rPr>
        <w:t xml:space="preserve"> </w:t>
      </w:r>
      <w:r w:rsidR="00F71F8F" w:rsidRPr="00905DD7">
        <w:rPr>
          <w:lang w:val="en-GB"/>
        </w:rPr>
        <w:t>-</w:t>
      </w:r>
      <w:r w:rsidR="00DF4A39" w:rsidRPr="00905DD7">
        <w:rPr>
          <w:lang w:val="en-GB"/>
        </w:rPr>
        <w:t xml:space="preserve"> </w:t>
      </w:r>
      <w:r w:rsidR="00F71F8F" w:rsidRPr="00905DD7">
        <w:rPr>
          <w:lang w:val="en-GB"/>
        </w:rPr>
        <w:t xml:space="preserve">0.09) were studied by </w:t>
      </w:r>
      <w:r w:rsidR="00F71F8F" w:rsidRPr="00905DD7">
        <w:rPr>
          <w:vertAlign w:val="superscript"/>
          <w:lang w:val="en-GB"/>
        </w:rPr>
        <w:t>71</w:t>
      </w:r>
      <w:r w:rsidR="00F71F8F" w:rsidRPr="00905DD7">
        <w:rPr>
          <w:lang w:val="en-GB"/>
        </w:rPr>
        <w:t xml:space="preserve">Ga NMR spectroscopy (Figure </w:t>
      </w:r>
      <w:r w:rsidR="00317B1E">
        <w:rPr>
          <w:lang w:val="en-GB"/>
        </w:rPr>
        <w:t>7</w:t>
      </w:r>
      <w:r w:rsidR="00F71F8F" w:rsidRPr="00905DD7">
        <w:rPr>
          <w:lang w:val="en-GB"/>
        </w:rPr>
        <w:t>). Most spectra were flat, with signals indistinguishable from the baseline; this is commonly found in gallium-based ionic liquids with low-symmetry anions</w:t>
      </w:r>
      <w:r>
        <w:rPr>
          <w:lang w:val="en-GB"/>
        </w:rPr>
        <w:t>.</w:t>
      </w:r>
      <w:r w:rsidR="00F71F8F" w:rsidRPr="00905DD7">
        <w:rPr>
          <w:lang w:val="en-GB"/>
        </w:rPr>
        <w:fldChar w:fldCharType="begin" w:fldLock="1"/>
      </w:r>
      <w:r w:rsidR="0026470D">
        <w:rPr>
          <w:lang w:val="en-GB"/>
        </w:rPr>
        <w:instrText>ADDIN CSL_CITATION {"citationItems":[{"id":"ITEM-1","itemData":{"DOI":"10.1039/C3CP44294B","ISSN":"1463-9084","PMID":"23420108","abstract":"Buffering of Lewis acidic chlorometallate ionic liquids is a useful tool to modify their properties for electrochemical and catalytic applications. Lewis acidic chlorogallate(III) ionic liquids containing the 1-octyl-3-methylimidazolium cation, buffered with sodium chloride, were studied using 71Ga NMR spectroscopy and cyclic voltammetry. All the studied Lewis acidic compositions (0.50 &lt; χGaCl3 ≤ 0.75) could be buffered to mild or moderate acidity, but not to neutrality. Electrodeposition of gallium from such buffered systems was possible, yielding deposits of improved morphology over the unbuffered ionic liquids, due to the constant melt composition maintained by the buffer. These findings were in a stark contrast with older studies on chloroaluminate(III) ionic liquids buffered with sodium chloride.","author":[{"dropping-particle":"","family":"Seddon","given":"Kenneth R.","non-dropping-particle":"","parse-names":false,"suffix":""},{"dropping-particle":"","family":"Srinivasan","given":"Geetha","non-dropping-particle":"","parse-names":false,"suffix":""},{"dropping-particle":"","family":"Swadźba-Kwaśny","given":"Małgorzata","non-dropping-particle":"","parse-names":false,"suffix":""},{"dropping-particle":"","family":"Wilson","given":"Anthony R.","non-dropping-particle":"","parse-names":false,"suffix":""}],"container-title":"Physical Chemistry Chemical Physics","id":"ITEM-1","issue":"13","issued":{"date-parts":[["2013","3","5"]]},"page":"4518-4526","publisher":"The Royal Society of Chemistry","title":"Buffered chlorogallate(III) ionic liquids and electrodeposition of gallium films","type":"article-journal","volume":"15"},"uris":["http://www.mendeley.com/documents/?uuid=26b3356a-8519-465c-a638-f1c090877b1a"]}],"mendeley":{"formattedCitation":"&lt;sup&gt;59&lt;/sup&gt;","plainTextFormattedCitation":"59","previouslyFormattedCitation":"&lt;sup&gt;59&lt;/sup&gt;"},"properties":{"noteIndex":0},"schema":"https://github.com/citation-style-language/schema/raw/master/csl-citation.json"}</w:instrText>
      </w:r>
      <w:r w:rsidR="00F71F8F" w:rsidRPr="00905DD7">
        <w:rPr>
          <w:lang w:val="en-GB"/>
        </w:rPr>
        <w:fldChar w:fldCharType="separate"/>
      </w:r>
      <w:r w:rsidR="0026470D" w:rsidRPr="0026470D">
        <w:rPr>
          <w:noProof/>
          <w:vertAlign w:val="superscript"/>
          <w:lang w:val="en-GB"/>
        </w:rPr>
        <w:t>59</w:t>
      </w:r>
      <w:r w:rsidR="00F71F8F" w:rsidRPr="00905DD7">
        <w:rPr>
          <w:lang w:val="en-GB"/>
        </w:rPr>
        <w:fldChar w:fldCharType="end"/>
      </w:r>
      <w:r w:rsidR="00F71F8F" w:rsidRPr="00905DD7">
        <w:rPr>
          <w:lang w:val="en-GB"/>
        </w:rPr>
        <w:t xml:space="preserve"> </w:t>
      </w:r>
      <w:r>
        <w:rPr>
          <w:lang w:val="en-GB"/>
        </w:rPr>
        <w:t xml:space="preserve">It can be attributed </w:t>
      </w:r>
      <w:r w:rsidR="00633788" w:rsidRPr="00300513">
        <w:rPr>
          <w:lang w:val="en-GB"/>
        </w:rPr>
        <w:t>to fast quadrupolar relaxation in these low-symmetry environments</w:t>
      </w:r>
      <w:r w:rsidR="00AD5F7C" w:rsidRPr="00300513">
        <w:rPr>
          <w:lang w:val="en-GB"/>
        </w:rPr>
        <w:t xml:space="preserve">, combined with rapid exchanges between several species (as indicated by </w:t>
      </w:r>
      <w:r w:rsidR="00AD5F7C" w:rsidRPr="00300513">
        <w:rPr>
          <w:vertAlign w:val="superscript"/>
          <w:lang w:val="en-GB"/>
        </w:rPr>
        <w:t>1</w:t>
      </w:r>
      <w:r w:rsidR="00AD5F7C" w:rsidRPr="00300513">
        <w:rPr>
          <w:lang w:val="en-GB"/>
        </w:rPr>
        <w:t>H NMR spectroscopy), all of which</w:t>
      </w:r>
      <w:r w:rsidR="00633788" w:rsidRPr="00300513">
        <w:rPr>
          <w:lang w:val="en-GB"/>
        </w:rPr>
        <w:t xml:space="preserve"> </w:t>
      </w:r>
      <w:r w:rsidR="00AD5F7C" w:rsidRPr="00300513">
        <w:rPr>
          <w:lang w:val="en-GB"/>
        </w:rPr>
        <w:t xml:space="preserve">would contribute to </w:t>
      </w:r>
      <w:r w:rsidR="00633788" w:rsidRPr="00300513">
        <w:rPr>
          <w:lang w:val="en-GB"/>
        </w:rPr>
        <w:t xml:space="preserve">the signal broadening. </w:t>
      </w:r>
      <w:r w:rsidR="00F71F8F" w:rsidRPr="00300513">
        <w:rPr>
          <w:lang w:val="en-GB"/>
        </w:rPr>
        <w:t>In the</w:t>
      </w:r>
      <w:r w:rsidR="00F71F8F" w:rsidRPr="00905DD7">
        <w:rPr>
          <w:lang w:val="en-GB"/>
        </w:rPr>
        <w:t xml:space="preserve"> </w:t>
      </w:r>
      <w:r w:rsidR="00F71F8F" w:rsidRPr="00905DD7">
        <w:rPr>
          <w:lang w:val="en-GB"/>
        </w:rPr>
        <w:t>most concentrated sample</w:t>
      </w:r>
      <w:r w:rsidR="00AD5F7C">
        <w:rPr>
          <w:lang w:val="en-GB"/>
        </w:rPr>
        <w:t>s</w:t>
      </w:r>
      <w:r w:rsidR="00F71F8F" w:rsidRPr="00905DD7">
        <w:rPr>
          <w:lang w:val="en-GB"/>
        </w:rPr>
        <w:t xml:space="preserve"> </w:t>
      </w:r>
      <w:r>
        <w:rPr>
          <w:lang w:val="en-GB"/>
        </w:rPr>
        <w:t>(</w:t>
      </w:r>
      <w:proofErr w:type="spellStart"/>
      <w:r w:rsidR="00F71F8F" w:rsidRPr="00905DD7">
        <w:rPr>
          <w:i/>
          <w:iCs/>
          <w:lang w:val="en-GB"/>
        </w:rPr>
        <w:t>χ</w:t>
      </w:r>
      <w:r w:rsidR="00F71F8F" w:rsidRPr="00905DD7">
        <w:rPr>
          <w:vertAlign w:val="subscript"/>
          <w:lang w:val="en-GB"/>
        </w:rPr>
        <w:t>Ga</w:t>
      </w:r>
      <w:proofErr w:type="spellEnd"/>
      <w:r w:rsidR="00F71F8F" w:rsidRPr="00905DD7">
        <w:rPr>
          <w:vertAlign w:val="subscript"/>
          <w:lang w:val="en-GB"/>
        </w:rPr>
        <w:t>(</w:t>
      </w:r>
      <w:proofErr w:type="spellStart"/>
      <w:r w:rsidR="00F71F8F" w:rsidRPr="00905DD7">
        <w:rPr>
          <w:vertAlign w:val="subscript"/>
          <w:lang w:val="en-GB"/>
        </w:rPr>
        <w:t>OTf</w:t>
      </w:r>
      <w:proofErr w:type="spellEnd"/>
      <w:r w:rsidR="00F71F8F" w:rsidRPr="00905DD7">
        <w:rPr>
          <w:vertAlign w:val="subscript"/>
          <w:lang w:val="en-GB"/>
        </w:rPr>
        <w:t>)3</w:t>
      </w:r>
      <w:r w:rsidR="00F71F8F" w:rsidRPr="00905DD7">
        <w:rPr>
          <w:bCs/>
          <w:lang w:val="en-GB"/>
        </w:rPr>
        <w:t> = 0.33</w:t>
      </w:r>
      <w:r w:rsidR="00AD5F7C">
        <w:rPr>
          <w:bCs/>
          <w:lang w:val="en-GB"/>
        </w:rPr>
        <w:t>, 0.25 and possibly 0.20</w:t>
      </w:r>
      <w:r>
        <w:rPr>
          <w:bCs/>
          <w:lang w:val="en-GB"/>
        </w:rPr>
        <w:t>)</w:t>
      </w:r>
      <w:r w:rsidR="00F71F8F" w:rsidRPr="00905DD7">
        <w:rPr>
          <w:bCs/>
          <w:lang w:val="en-GB"/>
        </w:rPr>
        <w:t>,</w:t>
      </w:r>
      <w:r>
        <w:rPr>
          <w:bCs/>
          <w:lang w:val="en-GB"/>
        </w:rPr>
        <w:t xml:space="preserve"> </w:t>
      </w:r>
      <w:r w:rsidR="00F71F8F" w:rsidRPr="00905DD7">
        <w:rPr>
          <w:bCs/>
          <w:lang w:val="en-GB"/>
        </w:rPr>
        <w:t>a  signal at -</w:t>
      </w:r>
      <w:r w:rsidR="00F71F8F" w:rsidRPr="00905DD7">
        <w:rPr>
          <w:lang w:val="en-GB"/>
        </w:rPr>
        <w:t xml:space="preserve">50 ppm </w:t>
      </w:r>
      <w:r w:rsidR="000F0193" w:rsidRPr="00905DD7">
        <w:rPr>
          <w:lang w:val="en-GB"/>
        </w:rPr>
        <w:t>was</w:t>
      </w:r>
      <w:r w:rsidR="00F71F8F" w:rsidRPr="00905DD7">
        <w:rPr>
          <w:lang w:val="en-GB"/>
        </w:rPr>
        <w:t xml:space="preserve"> detected, attributable to octahedral environment of gallium (-50 to 50 ppm).</w:t>
      </w:r>
      <w:r w:rsidR="00F71F8F" w:rsidRPr="00905DD7">
        <w:rPr>
          <w:lang w:val="en-GB"/>
        </w:rPr>
        <w:fldChar w:fldCharType="begin" w:fldLock="1"/>
      </w:r>
      <w:r w:rsidR="0026470D">
        <w:rPr>
          <w:lang w:val="en-GB"/>
        </w:rPr>
        <w:instrText>ADDIN CSL_CITATION {"citationItems":[{"id":"ITEM-1","itemData":{"DOI":"10.1021/cm501862u","ISSN":"15205002","abstract":"Solid-state 71Ga and 69Ga NMR was used to probe the structure of the hydroxo-aquo cluster, [Ga13(μ3-OH)6(μ2-OH)18(H2O)24](NO3)15, envisioned as a solution-processable material for thin film electronics. This species, termed Ga13, is made up of three types of 6-coordinate gallium sites, with bridging OH groups and H2O species decorating the outer edges. Solid-state NMR at two magnetic fields (13.9 and 21.1 T) of these quadrupolar nuclei, in conjunction with modeling, demonstrates that these sites are best represented as distorted octahedra, exhibiting a wide range of distinct quadrupolar couplings and asymmetry parameters. This information is critical for analyses of the local coordination environment for gallium in related gallium-oxide films, and this work adds to the growing body of evidence that gallium solid-state NMR is a useful tool for structural analyses.","author":[{"dropping-particle":"","family":"Ma","given":"Zayd L.","non-dropping-particle":"","parse-names":false,"suffix":""},{"dropping-particle":"","family":"Wentz","given":"Katherine M.","non-dropping-particle":"","parse-names":false,"suffix":""},{"dropping-particle":"","family":"Hammann","given":"Blake A.","non-dropping-particle":"","parse-names":false,"suffix":""},{"dropping-particle":"","family":"Chang","given":"I. Ya","non-dropping-particle":"","parse-names":false,"suffix":""},{"dropping-particle":"","family":"Kamunde-Devonish","given":"Maisha K.","non-dropping-particle":"","parse-names":false,"suffix":""},{"dropping-particle":"","family":"Cheong","given":"Paul Ha Yeon","non-dropping-particle":"","parse-names":false,"suffix":""},{"dropping-particle":"","family":"Johnson","given":"Darren W.","non-dropping-particle":"","parse-names":false,"suffix":""},{"dropping-particle":"V.","family":"Terskikh","given":"Victor","non-dropping-particle":"","parse-names":false,"suffix":""},{"dropping-particle":"","family":"Hayes","given":"Sophia E.","non-dropping-particle":"","parse-names":false,"suffix":""}],"container-title":"Chemistry of Materials","id":"ITEM-1","issue":"17","issued":{"date-parts":[["2014","9","9"]]},"page":"4978-4983","publisher":"American Chemical Society","title":"Solid-state 69Ga and 71Ga NMR study of the nanoscale inorganic cluster [Ga13(μ3-OH)6(μ2-OH)18(H2O)24](NO3)15","type":"article-journal","volume":"26"},"uris":["http://www.mendeley.com/documents/?uuid=d691b984-0df2-410c-ba42-531b01d03ac1"]}],"mendeley":{"formattedCitation":"&lt;sup&gt;60&lt;/sup&gt;","plainTextFormattedCitation":"60","previouslyFormattedCitation":"&lt;sup&gt;60&lt;/sup&gt;"},"properties":{"noteIndex":0},"schema":"https://github.com/citation-style-language/schema/raw/master/csl-citation.json"}</w:instrText>
      </w:r>
      <w:r w:rsidR="00F71F8F" w:rsidRPr="00905DD7">
        <w:rPr>
          <w:lang w:val="en-GB"/>
        </w:rPr>
        <w:fldChar w:fldCharType="separate"/>
      </w:r>
      <w:r w:rsidR="0026470D" w:rsidRPr="0026470D">
        <w:rPr>
          <w:noProof/>
          <w:vertAlign w:val="superscript"/>
          <w:lang w:val="en-GB"/>
        </w:rPr>
        <w:t>60</w:t>
      </w:r>
      <w:r w:rsidR="00F71F8F" w:rsidRPr="00905DD7">
        <w:rPr>
          <w:lang w:val="en-GB"/>
        </w:rPr>
        <w:fldChar w:fldCharType="end"/>
      </w:r>
      <w:r w:rsidR="00F71F8F" w:rsidRPr="00905DD7">
        <w:rPr>
          <w:lang w:val="en-GB"/>
        </w:rPr>
        <w:t xml:space="preserve"> </w:t>
      </w:r>
    </w:p>
    <w:p w14:paraId="754258FF" w14:textId="77777777" w:rsidR="00B2193E" w:rsidRPr="00905DD7" w:rsidRDefault="00B2193E" w:rsidP="000E2B3F">
      <w:pPr>
        <w:pStyle w:val="RSCI02FigureSchemeChartwithtopbar"/>
      </w:pPr>
      <w:r w:rsidRPr="00905DD7">
        <w:rPr>
          <w:noProof/>
        </w:rPr>
        <w:drawing>
          <wp:inline distT="0" distB="0" distL="0" distR="0" wp14:anchorId="4C1CB15E" wp14:editId="2A90C68C">
            <wp:extent cx="2988000" cy="2080635"/>
            <wp:effectExtent l="0" t="0" r="3175" b="0"/>
            <wp:docPr id="106439668" name="Obraz 3" descr="Obraz zawierający tekst, zrzut ekranu, linia,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39668" name="Obraz 3" descr="Obraz zawierający tekst, zrzut ekranu, linia, Czcionka&#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8000" cy="2080635"/>
                    </a:xfrm>
                    <a:prstGeom prst="rect">
                      <a:avLst/>
                    </a:prstGeom>
                  </pic:spPr>
                </pic:pic>
              </a:graphicData>
            </a:graphic>
          </wp:inline>
        </w:drawing>
      </w:r>
    </w:p>
    <w:p w14:paraId="0D5D373C" w14:textId="2F4768B5" w:rsidR="00B2193E" w:rsidRPr="00905DD7" w:rsidRDefault="00B2193E" w:rsidP="000E2B3F">
      <w:pPr>
        <w:pStyle w:val="RSCI05CaptiontoFigureSchemeChartwithbottombar"/>
      </w:pPr>
      <w:r w:rsidRPr="00905DD7">
        <w:rPr>
          <w:b/>
        </w:rPr>
        <w:t xml:space="preserve">Figure </w:t>
      </w:r>
      <w:r w:rsidR="00093EF0">
        <w:rPr>
          <w:b/>
        </w:rPr>
        <w:t>7</w:t>
      </w:r>
      <w:r w:rsidRPr="00905DD7">
        <w:t xml:space="preserve">. </w:t>
      </w:r>
      <w:r w:rsidRPr="00905DD7">
        <w:rPr>
          <w:vertAlign w:val="superscript"/>
        </w:rPr>
        <w:t>71</w:t>
      </w:r>
      <w:r w:rsidRPr="00905DD7">
        <w:t>Ga NMR spectrum of Ga(NO</w:t>
      </w:r>
      <w:r w:rsidRPr="00905DD7">
        <w:rPr>
          <w:vertAlign w:val="subscript"/>
        </w:rPr>
        <w:t>3</w:t>
      </w:r>
      <w:r w:rsidRPr="00905DD7">
        <w:t>)</w:t>
      </w:r>
      <w:r w:rsidRPr="00905DD7">
        <w:rPr>
          <w:vertAlign w:val="subscript"/>
        </w:rPr>
        <w:t>3</w:t>
      </w:r>
      <w:r w:rsidRPr="00905DD7">
        <w:t xml:space="preserve"> in D</w:t>
      </w:r>
      <w:r w:rsidRPr="00905DD7">
        <w:rPr>
          <w:vertAlign w:val="subscript"/>
        </w:rPr>
        <w:t>2</w:t>
      </w:r>
      <w:r w:rsidRPr="00905DD7">
        <w:t xml:space="preserve">O and full series of Ga-SILs compositions, </w:t>
      </w:r>
      <w:proofErr w:type="spellStart"/>
      <w:r w:rsidRPr="00905DD7">
        <w:rPr>
          <w:i/>
          <w:iCs/>
        </w:rPr>
        <w:t>χ</w:t>
      </w:r>
      <w:r w:rsidRPr="00905DD7">
        <w:rPr>
          <w:vertAlign w:val="subscript"/>
        </w:rPr>
        <w:t>Ga</w:t>
      </w:r>
      <w:proofErr w:type="spellEnd"/>
      <w:r w:rsidRPr="00905DD7">
        <w:rPr>
          <w:vertAlign w:val="subscript"/>
        </w:rPr>
        <w:t>(</w:t>
      </w:r>
      <w:proofErr w:type="spellStart"/>
      <w:r w:rsidRPr="00905DD7">
        <w:rPr>
          <w:vertAlign w:val="subscript"/>
        </w:rPr>
        <w:t>OTf</w:t>
      </w:r>
      <w:proofErr w:type="spellEnd"/>
      <w:r w:rsidRPr="00905DD7">
        <w:rPr>
          <w:vertAlign w:val="subscript"/>
        </w:rPr>
        <w:t>)3</w:t>
      </w:r>
      <w:r w:rsidRPr="00905DD7">
        <w:t> = 0.33-0.09.</w:t>
      </w:r>
    </w:p>
    <w:p w14:paraId="1B756B7D" w14:textId="5EC3AD80" w:rsidR="0079714B" w:rsidRDefault="00EC5B75" w:rsidP="00EC5B75">
      <w:pPr>
        <w:pStyle w:val="RSCB02ArticleText"/>
        <w:ind w:firstLine="284"/>
        <w:rPr>
          <w:lang w:val="en-GB"/>
        </w:rPr>
      </w:pPr>
      <w:r>
        <w:rPr>
          <w:lang w:val="en-GB"/>
        </w:rPr>
        <w:t>Finally, b</w:t>
      </w:r>
      <w:r w:rsidRPr="00905DD7">
        <w:rPr>
          <w:lang w:val="en-GB"/>
        </w:rPr>
        <w:t xml:space="preserve">oth </w:t>
      </w:r>
      <w:r w:rsidR="00B2193E" w:rsidRPr="00905DD7">
        <w:rPr>
          <w:lang w:val="en-GB"/>
        </w:rPr>
        <w:t>Al-</w:t>
      </w:r>
      <w:r>
        <w:rPr>
          <w:lang w:val="en-GB"/>
        </w:rPr>
        <w:t>SILs</w:t>
      </w:r>
      <w:r w:rsidR="00B2193E" w:rsidRPr="00905DD7">
        <w:rPr>
          <w:lang w:val="en-GB"/>
        </w:rPr>
        <w:t xml:space="preserve"> and Ga- SILs were studied by </w:t>
      </w:r>
      <w:r w:rsidR="00B2193E" w:rsidRPr="00905DD7">
        <w:rPr>
          <w:vertAlign w:val="superscript"/>
          <w:lang w:val="en-GB"/>
        </w:rPr>
        <w:t>19</w:t>
      </w:r>
      <w:r w:rsidR="00B2193E" w:rsidRPr="00905DD7">
        <w:rPr>
          <w:lang w:val="en-GB"/>
        </w:rPr>
        <w:t>F NMR spectroscopy</w:t>
      </w:r>
      <w:r>
        <w:rPr>
          <w:lang w:val="en-GB"/>
        </w:rPr>
        <w:t xml:space="preserve"> across their entire compositional range </w:t>
      </w:r>
      <w:r w:rsidRPr="00905DD7">
        <w:rPr>
          <w:lang w:val="en-GB"/>
        </w:rPr>
        <w:t>(</w:t>
      </w:r>
      <w:proofErr w:type="spellStart"/>
      <w:r w:rsidRPr="00905DD7">
        <w:rPr>
          <w:i/>
          <w:iCs/>
          <w:lang w:val="en-GB"/>
        </w:rPr>
        <w:t>χ</w:t>
      </w:r>
      <w:r w:rsidRPr="00905DD7">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sidRPr="00905DD7">
        <w:rPr>
          <w:i/>
          <w:iCs/>
          <w:lang w:val="en-GB"/>
        </w:rPr>
        <w:t xml:space="preserve"> </w:t>
      </w:r>
      <w:r w:rsidRPr="00905DD7">
        <w:rPr>
          <w:lang w:val="en-GB"/>
        </w:rPr>
        <w:t>= 0.33 - 0.09)</w:t>
      </w:r>
      <w:r w:rsidR="00B2193E" w:rsidRPr="00905DD7">
        <w:rPr>
          <w:lang w:val="en-GB"/>
        </w:rPr>
        <w:t xml:space="preserve">. </w:t>
      </w:r>
      <w:r w:rsidR="005A7272">
        <w:rPr>
          <w:vertAlign w:val="superscript"/>
          <w:lang w:val="en-GB"/>
        </w:rPr>
        <w:t>19</w:t>
      </w:r>
      <w:r w:rsidR="005A7272">
        <w:rPr>
          <w:lang w:val="en-GB"/>
        </w:rPr>
        <w:t>F</w:t>
      </w:r>
      <w:r>
        <w:rPr>
          <w:lang w:val="en-GB"/>
        </w:rPr>
        <w:t xml:space="preserve"> NMR spectra of Al-SILs</w:t>
      </w:r>
      <w:r w:rsidR="00B2193E" w:rsidRPr="00905DD7">
        <w:rPr>
          <w:lang w:val="en-GB"/>
        </w:rPr>
        <w:t xml:space="preserve"> exhibit</w:t>
      </w:r>
      <w:r w:rsidR="005A7272">
        <w:rPr>
          <w:lang w:val="en-GB"/>
        </w:rPr>
        <w:t>ed</w:t>
      </w:r>
      <w:r w:rsidR="00B2193E" w:rsidRPr="00905DD7">
        <w:rPr>
          <w:lang w:val="en-GB"/>
        </w:rPr>
        <w:t xml:space="preserve"> multiple signals within the chemical shift range of -79.2 to -80.2 ppm</w:t>
      </w:r>
      <w:r>
        <w:rPr>
          <w:lang w:val="en-GB"/>
        </w:rPr>
        <w:t xml:space="preserve"> (</w:t>
      </w:r>
      <w:r w:rsidRPr="00905DD7">
        <w:rPr>
          <w:lang w:val="en-GB"/>
        </w:rPr>
        <w:t>Figure </w:t>
      </w:r>
      <w:r w:rsidR="00317B1E">
        <w:rPr>
          <w:lang w:val="en-GB"/>
        </w:rPr>
        <w:t>8</w:t>
      </w:r>
      <w:r>
        <w:rPr>
          <w:lang w:val="en-GB"/>
        </w:rPr>
        <w:t>)</w:t>
      </w:r>
      <w:r w:rsidR="00EB6673">
        <w:rPr>
          <w:lang w:val="en-GB"/>
        </w:rPr>
        <w:t>, while</w:t>
      </w:r>
      <w:r w:rsidR="00B73650">
        <w:rPr>
          <w:lang w:val="en-GB"/>
        </w:rPr>
        <w:t xml:space="preserve"> </w:t>
      </w:r>
      <w:r w:rsidR="005A7272">
        <w:rPr>
          <w:vertAlign w:val="superscript"/>
          <w:lang w:val="en-GB"/>
        </w:rPr>
        <w:t>19</w:t>
      </w:r>
      <w:r w:rsidR="005A7272">
        <w:rPr>
          <w:lang w:val="en-GB"/>
        </w:rPr>
        <w:t xml:space="preserve">F NMR </w:t>
      </w:r>
      <w:r w:rsidR="005A7272" w:rsidRPr="00905DD7">
        <w:rPr>
          <w:lang w:val="en-GB"/>
        </w:rPr>
        <w:t>signals</w:t>
      </w:r>
      <w:r w:rsidR="005A7272">
        <w:rPr>
          <w:lang w:val="en-GB"/>
        </w:rPr>
        <w:t xml:space="preserve"> for </w:t>
      </w:r>
      <w:r w:rsidR="00B73650">
        <w:rPr>
          <w:lang w:val="en-GB"/>
        </w:rPr>
        <w:t>Ga-</w:t>
      </w:r>
      <w:r w:rsidR="00B2193E" w:rsidRPr="00905DD7">
        <w:rPr>
          <w:lang w:val="en-GB"/>
        </w:rPr>
        <w:t xml:space="preserve">SILs </w:t>
      </w:r>
      <w:r w:rsidR="00EB6673">
        <w:rPr>
          <w:lang w:val="en-GB"/>
        </w:rPr>
        <w:t>were</w:t>
      </w:r>
      <w:r w:rsidR="00B2193E" w:rsidRPr="00905DD7">
        <w:rPr>
          <w:lang w:val="en-GB"/>
        </w:rPr>
        <w:t xml:space="preserve"> </w:t>
      </w:r>
      <w:r w:rsidR="00EB6673">
        <w:rPr>
          <w:lang w:val="en-GB"/>
        </w:rPr>
        <w:t>slightly more shielded</w:t>
      </w:r>
      <w:r w:rsidR="00EB6673" w:rsidRPr="00905DD7">
        <w:rPr>
          <w:lang w:val="en-GB"/>
        </w:rPr>
        <w:t xml:space="preserve"> </w:t>
      </w:r>
      <w:r w:rsidR="00EB6673">
        <w:rPr>
          <w:lang w:val="en-GB"/>
        </w:rPr>
        <w:t xml:space="preserve">on average, </w:t>
      </w:r>
      <w:r w:rsidR="00B2193E" w:rsidRPr="00905DD7">
        <w:rPr>
          <w:lang w:val="en-GB"/>
        </w:rPr>
        <w:t xml:space="preserve">-78.9 to </w:t>
      </w:r>
      <w:r w:rsidR="00EB6673">
        <w:rPr>
          <w:lang w:val="en-GB"/>
        </w:rPr>
        <w:t>-</w:t>
      </w:r>
      <w:r w:rsidR="00B2193E" w:rsidRPr="00905DD7">
        <w:rPr>
          <w:lang w:val="en-GB"/>
        </w:rPr>
        <w:t>79.6 ppm</w:t>
      </w:r>
      <w:r w:rsidR="00B73650">
        <w:rPr>
          <w:lang w:val="en-GB"/>
        </w:rPr>
        <w:t xml:space="preserve"> </w:t>
      </w:r>
      <w:r w:rsidR="00EB6673">
        <w:rPr>
          <w:lang w:val="en-GB"/>
        </w:rPr>
        <w:t>(</w:t>
      </w:r>
      <w:r w:rsidR="00B2193E" w:rsidRPr="00905DD7">
        <w:rPr>
          <w:lang w:val="en-GB"/>
        </w:rPr>
        <w:t>Figure </w:t>
      </w:r>
      <w:r w:rsidR="00317B1E">
        <w:rPr>
          <w:lang w:val="en-GB"/>
        </w:rPr>
        <w:t>9</w:t>
      </w:r>
      <w:r w:rsidR="00B2193E" w:rsidRPr="00905DD7">
        <w:rPr>
          <w:lang w:val="en-GB"/>
        </w:rPr>
        <w:t xml:space="preserve">). </w:t>
      </w:r>
      <w:r w:rsidR="00C3787B">
        <w:rPr>
          <w:lang w:val="en-GB"/>
        </w:rPr>
        <w:t xml:space="preserve">To our knowledge, </w:t>
      </w:r>
      <w:r w:rsidR="005A7272">
        <w:rPr>
          <w:lang w:val="en-GB"/>
        </w:rPr>
        <w:t>these are</w:t>
      </w:r>
      <w:r w:rsidR="00C3787B">
        <w:rPr>
          <w:lang w:val="en-GB"/>
        </w:rPr>
        <w:t xml:space="preserve"> the most complicated patterns of </w:t>
      </w:r>
      <w:r w:rsidR="00C3787B" w:rsidRPr="00905DD7">
        <w:rPr>
          <w:vertAlign w:val="superscript"/>
          <w:lang w:val="en-GB"/>
        </w:rPr>
        <w:t>19</w:t>
      </w:r>
      <w:r w:rsidR="00C3787B" w:rsidRPr="00905DD7">
        <w:rPr>
          <w:lang w:val="en-GB"/>
        </w:rPr>
        <w:t xml:space="preserve">F NMR </w:t>
      </w:r>
      <w:r w:rsidR="00C3787B">
        <w:rPr>
          <w:lang w:val="en-GB"/>
        </w:rPr>
        <w:t xml:space="preserve">signals from triflate anions reported in the </w:t>
      </w:r>
      <w:r w:rsidR="005A7272">
        <w:rPr>
          <w:lang w:val="en-GB"/>
        </w:rPr>
        <w:t>IL</w:t>
      </w:r>
      <w:r w:rsidR="00C3787B">
        <w:rPr>
          <w:lang w:val="en-GB"/>
        </w:rPr>
        <w:t xml:space="preserve"> literature.</w:t>
      </w:r>
    </w:p>
    <w:p w14:paraId="5DE4126C" w14:textId="0DE50315" w:rsidR="0079714B" w:rsidRDefault="00C3787B" w:rsidP="00EC5B75">
      <w:pPr>
        <w:pStyle w:val="RSCB02ArticleText"/>
        <w:ind w:firstLine="284"/>
        <w:rPr>
          <w:lang w:val="en-GB"/>
        </w:rPr>
      </w:pPr>
      <w:r>
        <w:rPr>
          <w:lang w:val="en-GB"/>
        </w:rPr>
        <w:t>C</w:t>
      </w:r>
      <w:r w:rsidR="00EB6673">
        <w:rPr>
          <w:lang w:val="en-GB"/>
        </w:rPr>
        <w:t xml:space="preserve">onventional </w:t>
      </w:r>
      <w:r>
        <w:rPr>
          <w:lang w:val="en-GB"/>
        </w:rPr>
        <w:t>ILs</w:t>
      </w:r>
      <w:r w:rsidR="00EB6673">
        <w:rPr>
          <w:lang w:val="en-GB"/>
        </w:rPr>
        <w:t xml:space="preserve"> with free [</w:t>
      </w:r>
      <w:proofErr w:type="spellStart"/>
      <w:r w:rsidR="00EB6673">
        <w:rPr>
          <w:lang w:val="en-GB"/>
        </w:rPr>
        <w:t>OTf</w:t>
      </w:r>
      <w:proofErr w:type="spellEnd"/>
      <w:r w:rsidR="00EB6673">
        <w:rPr>
          <w:lang w:val="en-GB"/>
        </w:rPr>
        <w:t>]</w:t>
      </w:r>
      <w:r w:rsidR="00EB6673" w:rsidRPr="00A837DA">
        <w:rPr>
          <w:vertAlign w:val="superscript"/>
          <w:lang w:val="en-GB"/>
        </w:rPr>
        <w:t>-</w:t>
      </w:r>
      <w:r w:rsidR="00EB6673">
        <w:rPr>
          <w:lang w:val="en-GB"/>
        </w:rPr>
        <w:t xml:space="preserve"> anions</w:t>
      </w:r>
      <w:r w:rsidR="00BC44B9">
        <w:rPr>
          <w:lang w:val="en-GB"/>
        </w:rPr>
        <w:t>, measured in solution,</w:t>
      </w:r>
      <w:r w:rsidR="00EB6673">
        <w:rPr>
          <w:lang w:val="en-GB"/>
        </w:rPr>
        <w:t xml:space="preserve"> </w:t>
      </w:r>
      <w:r w:rsidR="00A7089F">
        <w:rPr>
          <w:lang w:val="en-GB"/>
        </w:rPr>
        <w:t xml:space="preserve">all </w:t>
      </w:r>
      <w:r>
        <w:rPr>
          <w:lang w:val="en-GB"/>
        </w:rPr>
        <w:t>had</w:t>
      </w:r>
      <w:r w:rsidR="00A7089F">
        <w:rPr>
          <w:lang w:val="en-GB"/>
        </w:rPr>
        <w:t xml:space="preserve"> single sharp</w:t>
      </w:r>
      <w:r w:rsidR="00EB6673">
        <w:rPr>
          <w:lang w:val="en-GB"/>
        </w:rPr>
        <w:t xml:space="preserve"> </w:t>
      </w:r>
      <w:r w:rsidR="00EB6673" w:rsidRPr="00905DD7">
        <w:rPr>
          <w:vertAlign w:val="superscript"/>
          <w:lang w:val="en-GB"/>
        </w:rPr>
        <w:t>19</w:t>
      </w:r>
      <w:r w:rsidR="00EB6673" w:rsidRPr="00905DD7">
        <w:rPr>
          <w:lang w:val="en-GB"/>
        </w:rPr>
        <w:t xml:space="preserve">F NMR </w:t>
      </w:r>
      <w:r w:rsidR="00EB6673">
        <w:rPr>
          <w:lang w:val="en-GB"/>
        </w:rPr>
        <w:t>signals within</w:t>
      </w:r>
      <w:r w:rsidR="00B2193E" w:rsidRPr="00905DD7">
        <w:rPr>
          <w:lang w:val="en-GB"/>
        </w:rPr>
        <w:t xml:space="preserve"> </w:t>
      </w:r>
      <w:r w:rsidR="00B2193E" w:rsidRPr="00905DD7">
        <w:rPr>
          <w:lang w:val="en-GB"/>
        </w:rPr>
        <w:noBreakHyphen/>
        <w:t xml:space="preserve">76 </w:t>
      </w:r>
      <w:r w:rsidR="00EB6673">
        <w:rPr>
          <w:lang w:val="en-GB"/>
        </w:rPr>
        <w:t>to</w:t>
      </w:r>
      <w:r w:rsidR="00EB6673" w:rsidRPr="00905DD7">
        <w:rPr>
          <w:lang w:val="en-GB"/>
        </w:rPr>
        <w:t xml:space="preserve"> </w:t>
      </w:r>
      <w:r w:rsidR="00B2193E" w:rsidRPr="00905DD7">
        <w:rPr>
          <w:lang w:val="en-GB"/>
        </w:rPr>
        <w:noBreakHyphen/>
        <w:t>79 ppm</w:t>
      </w:r>
      <w:r>
        <w:rPr>
          <w:lang w:val="en-GB"/>
        </w:rPr>
        <w:t>.</w:t>
      </w:r>
      <w:r w:rsidR="00B2193E" w:rsidRPr="00905DD7">
        <w:rPr>
          <w:lang w:val="en-GB"/>
        </w:rPr>
        <w:fldChar w:fldCharType="begin" w:fldLock="1"/>
      </w:r>
      <w:r w:rsidR="0026470D">
        <w:rPr>
          <w:lang w:val="en-GB"/>
        </w:rPr>
        <w:instrText>ADDIN CSL_CITATION {"citationItems":[{"id":"ITEM-1","itemData":{"DOI":"10.3390/molecules17055319","ISSN":"14203049","PMID":"22565482","abstract":"A solvent- and halogen-free synthesis of high purity triflate ionic liquids via direct alkylation of organic bases (amines, phosphines or heterocyclic compounds) with methyl and ethyl trifluoromethanesulfonate (methyl and ethyl triflate) has been developed. Cheap and non-toxic dimethyl and diethyl carbonate serve as source for the methyl and ethyl groups in the preparation of methyl and ethyl triflate by this invented process. The properties of ionic liquids containing the triflate anion are determined and discussed. © 2012 by the Authors.","author":[{"dropping-particle":"V.","family":"Ignat'ev","given":"Nikolai","non-dropping-particle":"","parse-names":false,"suffix":""},{"dropping-particle":"","family":"Barthen","given":"Peter","non-dropping-particle":"","parse-names":false,"suffix":""},{"dropping-particle":"","family":"Kucheryna","given":"Andryi","non-dropping-particle":"","parse-names":false,"suffix":""},{"dropping-particle":"","family":"Willner","given":"Helge","non-dropping-particle":"","parse-names":false,"suffix":""},{"dropping-particle":"","family":"Sartori","given":"Peter","non-dropping-particle":"","parse-names":false,"suffix":""}],"container-title":"Molecules","id":"ITEM-1","issue":"5","issued":{"date-parts":[["2012","5","7"]]},"page":"5319-5338","publisher":"Molecular Diversity Preservation International","title":"A convenient synthesis of triflate anion ionic liquids and their properties","type":"article-journal","volume":"17"},"uris":["http://www.mendeley.com/documents/?uuid=d285322a-7748-43ac-b4d4-20fc59918ab7"]}],"mendeley":{"formattedCitation":"&lt;sup&gt;61&lt;/sup&gt;","plainTextFormattedCitation":"61","previouslyFormattedCitation":"&lt;sup&gt;61&lt;/sup&gt;"},"properties":{"noteIndex":0},"schema":"https://github.com/citation-style-language/schema/raw/master/csl-citation.json"}</w:instrText>
      </w:r>
      <w:r w:rsidR="00B2193E" w:rsidRPr="00905DD7">
        <w:rPr>
          <w:lang w:val="en-GB"/>
        </w:rPr>
        <w:fldChar w:fldCharType="separate"/>
      </w:r>
      <w:r w:rsidR="0026470D" w:rsidRPr="0026470D">
        <w:rPr>
          <w:noProof/>
          <w:vertAlign w:val="superscript"/>
          <w:lang w:val="en-GB"/>
        </w:rPr>
        <w:t>61</w:t>
      </w:r>
      <w:r w:rsidR="00B2193E" w:rsidRPr="00905DD7">
        <w:rPr>
          <w:lang w:val="en-GB"/>
        </w:rPr>
        <w:fldChar w:fldCharType="end"/>
      </w:r>
      <w:r w:rsidR="00EB6673">
        <w:rPr>
          <w:lang w:val="en-GB"/>
        </w:rPr>
        <w:t xml:space="preserve"> </w:t>
      </w:r>
      <w:r w:rsidR="00A7089F">
        <w:rPr>
          <w:lang w:val="en-GB"/>
        </w:rPr>
        <w:t xml:space="preserve">Al-coordinated triflates in </w:t>
      </w:r>
      <w:proofErr w:type="spellStart"/>
      <w:r w:rsidR="00EB6673">
        <w:rPr>
          <w:lang w:val="en-GB"/>
        </w:rPr>
        <w:t>triflometallate</w:t>
      </w:r>
      <w:proofErr w:type="spellEnd"/>
      <w:r w:rsidR="00EB6673">
        <w:rPr>
          <w:lang w:val="en-GB"/>
        </w:rPr>
        <w:t xml:space="preserve"> ILs featured several merged </w:t>
      </w:r>
      <w:r w:rsidR="00A7089F" w:rsidRPr="00905DD7">
        <w:rPr>
          <w:vertAlign w:val="superscript"/>
          <w:lang w:val="en-GB"/>
        </w:rPr>
        <w:t>19</w:t>
      </w:r>
      <w:r w:rsidR="00A7089F" w:rsidRPr="00905DD7">
        <w:rPr>
          <w:lang w:val="en-GB"/>
        </w:rPr>
        <w:t xml:space="preserve">F NMR </w:t>
      </w:r>
      <w:r w:rsidR="00EB6673">
        <w:rPr>
          <w:lang w:val="en-GB"/>
        </w:rPr>
        <w:t>signals</w:t>
      </w:r>
      <w:r w:rsidR="00A7089F">
        <w:rPr>
          <w:lang w:val="en-GB"/>
        </w:rPr>
        <w:t>,</w:t>
      </w:r>
      <w:r w:rsidR="00EB6673">
        <w:rPr>
          <w:lang w:val="en-GB"/>
        </w:rPr>
        <w:t xml:space="preserve"> centred around -79 ppm</w:t>
      </w:r>
      <w:r>
        <w:rPr>
          <w:lang w:val="en-GB"/>
        </w:rPr>
        <w:t xml:space="preserve">, with minimal downfield shift with increasing </w:t>
      </w:r>
      <w:r w:rsidRPr="00905DD7">
        <w:rPr>
          <w:i/>
          <w:iCs/>
          <w:lang w:val="en-GB"/>
        </w:rPr>
        <w:t>χ</w:t>
      </w:r>
      <w:r w:rsidR="00BC44B9">
        <w:rPr>
          <w:vertAlign w:val="subscript"/>
          <w:lang w:val="en-GB"/>
        </w:rPr>
        <w:t>Al</w:t>
      </w:r>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sidR="0079714B">
        <w:rPr>
          <w:lang w:val="en-GB"/>
        </w:rPr>
        <w:t>, whereas the parent</w:t>
      </w:r>
      <w:r w:rsidR="005A7272">
        <w:rPr>
          <w:lang w:val="en-GB"/>
        </w:rPr>
        <w:t xml:space="preserve"> metal-free IL</w:t>
      </w:r>
      <w:r w:rsidR="0079714B">
        <w:rPr>
          <w:lang w:val="en-GB"/>
        </w:rPr>
        <w:t>,</w:t>
      </w:r>
      <w:r w:rsidR="005A7272">
        <w:rPr>
          <w:lang w:val="en-GB"/>
        </w:rPr>
        <w:t xml:space="preserve"> 1-octyl-3-methylimidazolium triflate, </w:t>
      </w:r>
      <w:r w:rsidR="0079714B">
        <w:rPr>
          <w:lang w:val="en-GB"/>
        </w:rPr>
        <w:t xml:space="preserve">measured neat, had a singlet at </w:t>
      </w:r>
      <w:r w:rsidR="005A7272">
        <w:rPr>
          <w:lang w:val="en-GB"/>
        </w:rPr>
        <w:t>-80.2 ppm</w:t>
      </w:r>
      <w:r w:rsidR="00BC44B9">
        <w:rPr>
          <w:lang w:val="en-GB"/>
        </w:rPr>
        <w:t>.</w:t>
      </w:r>
      <w:r w:rsidR="00A837DA">
        <w:rPr>
          <w:lang w:val="en-GB"/>
        </w:rPr>
        <w:fldChar w:fldCharType="begin" w:fldLock="1"/>
      </w:r>
      <w:r w:rsidR="0026470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mendeley":{"formattedCitation":"&lt;sup&gt;12&lt;/sup&gt;","plainTextFormattedCitation":"12","previouslyFormattedCitation":"&lt;sup&gt;12&lt;/sup&gt;"},"properties":{"noteIndex":0},"schema":"https://github.com/citation-style-language/schema/raw/master/csl-citation.json"}</w:instrText>
      </w:r>
      <w:r w:rsidR="00A837DA">
        <w:rPr>
          <w:lang w:val="en-GB"/>
        </w:rPr>
        <w:fldChar w:fldCharType="separate"/>
      </w:r>
      <w:r w:rsidR="0026470D" w:rsidRPr="0026470D">
        <w:rPr>
          <w:noProof/>
          <w:vertAlign w:val="superscript"/>
          <w:lang w:val="en-GB"/>
        </w:rPr>
        <w:t>12</w:t>
      </w:r>
      <w:r w:rsidR="00A837DA">
        <w:rPr>
          <w:lang w:val="en-GB"/>
        </w:rPr>
        <w:fldChar w:fldCharType="end"/>
      </w:r>
    </w:p>
    <w:p w14:paraId="24AE23E4" w14:textId="07DFE991" w:rsidR="00B2193E" w:rsidRPr="00190E88" w:rsidRDefault="00BC44B9" w:rsidP="00A837DA">
      <w:pPr>
        <w:pStyle w:val="RSCB02ArticleText"/>
        <w:ind w:firstLine="284"/>
        <w:rPr>
          <w:lang w:val="en-GB"/>
        </w:rPr>
      </w:pPr>
      <w:r>
        <w:rPr>
          <w:lang w:val="en-GB"/>
        </w:rPr>
        <w:t>In this work,</w:t>
      </w:r>
      <w:r w:rsidR="005924EA">
        <w:rPr>
          <w:lang w:val="en-GB"/>
        </w:rPr>
        <w:t xml:space="preserve"> all</w:t>
      </w:r>
      <w:r>
        <w:rPr>
          <w:lang w:val="en-GB"/>
        </w:rPr>
        <w:t xml:space="preserve"> </w:t>
      </w:r>
      <w:r w:rsidRPr="00905DD7">
        <w:rPr>
          <w:vertAlign w:val="superscript"/>
          <w:lang w:val="en-GB"/>
        </w:rPr>
        <w:t>19</w:t>
      </w:r>
      <w:r w:rsidRPr="00905DD7">
        <w:rPr>
          <w:lang w:val="en-GB"/>
        </w:rPr>
        <w:t xml:space="preserve">F NMR </w:t>
      </w:r>
      <w:r>
        <w:rPr>
          <w:lang w:val="en-GB"/>
        </w:rPr>
        <w:t xml:space="preserve">signals shift </w:t>
      </w:r>
      <w:proofErr w:type="spellStart"/>
      <w:r>
        <w:rPr>
          <w:lang w:val="en-GB"/>
        </w:rPr>
        <w:t>upfield</w:t>
      </w:r>
      <w:proofErr w:type="spellEnd"/>
      <w:r>
        <w:rPr>
          <w:lang w:val="en-GB"/>
        </w:rPr>
        <w:t xml:space="preserve"> with increasing </w:t>
      </w:r>
      <w:proofErr w:type="spellStart"/>
      <w:r w:rsidRPr="00905DD7">
        <w:rPr>
          <w:i/>
          <w:iCs/>
          <w:lang w:val="en-GB"/>
        </w:rPr>
        <w:t>χ</w:t>
      </w:r>
      <w:r w:rsidRPr="00905DD7">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sidR="005A7272">
        <w:rPr>
          <w:lang w:val="en-GB"/>
        </w:rPr>
        <w:t>, although</w:t>
      </w:r>
      <w:r w:rsidR="00190E88">
        <w:rPr>
          <w:lang w:val="en-GB"/>
        </w:rPr>
        <w:t xml:space="preserve"> </w:t>
      </w:r>
      <w:r w:rsidR="005A7272">
        <w:rPr>
          <w:lang w:val="en-GB"/>
        </w:rPr>
        <w:t>t</w:t>
      </w:r>
      <w:r w:rsidR="00190E88">
        <w:rPr>
          <w:lang w:val="en-GB"/>
        </w:rPr>
        <w:t xml:space="preserve">he pattern of signals </w:t>
      </w:r>
      <w:r w:rsidR="0079714B">
        <w:rPr>
          <w:lang w:val="en-GB"/>
        </w:rPr>
        <w:t>did not</w:t>
      </w:r>
      <w:r w:rsidR="00190E88">
        <w:rPr>
          <w:lang w:val="en-GB"/>
        </w:rPr>
        <w:t xml:space="preserve"> change</w:t>
      </w:r>
      <w:r w:rsidR="0079714B">
        <w:rPr>
          <w:lang w:val="en-GB"/>
        </w:rPr>
        <w:t xml:space="preserve"> significantly</w:t>
      </w:r>
      <w:r w:rsidR="00190E88">
        <w:rPr>
          <w:lang w:val="en-GB"/>
        </w:rPr>
        <w:t xml:space="preserve"> with composition</w:t>
      </w:r>
      <w:r w:rsidR="005924EA">
        <w:rPr>
          <w:lang w:val="en-GB"/>
        </w:rPr>
        <w:t xml:space="preserve"> (</w:t>
      </w:r>
      <w:r w:rsidR="00190E88">
        <w:rPr>
          <w:lang w:val="en-GB"/>
        </w:rPr>
        <w:t>aside from broadening</w:t>
      </w:r>
      <w:r w:rsidR="005924EA">
        <w:rPr>
          <w:lang w:val="en-GB"/>
        </w:rPr>
        <w:t xml:space="preserve"> due</w:t>
      </w:r>
      <w:r w:rsidR="00190E88">
        <w:rPr>
          <w:lang w:val="en-GB"/>
        </w:rPr>
        <w:t xml:space="preserve"> to viscosity change</w:t>
      </w:r>
      <w:r w:rsidR="005924EA">
        <w:rPr>
          <w:lang w:val="en-GB"/>
        </w:rPr>
        <w:t>)</w:t>
      </w:r>
      <w:r w:rsidR="00190E88">
        <w:rPr>
          <w:lang w:val="en-GB"/>
        </w:rPr>
        <w:t xml:space="preserve">. </w:t>
      </w:r>
      <w:r w:rsidR="005924EA">
        <w:rPr>
          <w:lang w:val="en-GB"/>
        </w:rPr>
        <w:t>Arguably,</w:t>
      </w:r>
      <w:r w:rsidR="0079714B">
        <w:rPr>
          <w:lang w:val="en-GB"/>
        </w:rPr>
        <w:t xml:space="preserve"> the </w:t>
      </w:r>
      <w:proofErr w:type="spellStart"/>
      <w:r w:rsidR="0079714B">
        <w:rPr>
          <w:lang w:val="en-GB"/>
        </w:rPr>
        <w:t>upfield</w:t>
      </w:r>
      <w:proofErr w:type="spellEnd"/>
      <w:r w:rsidR="0079714B">
        <w:rPr>
          <w:lang w:val="en-GB"/>
        </w:rPr>
        <w:t xml:space="preserve"> shift </w:t>
      </w:r>
      <w:r w:rsidR="005924EA">
        <w:rPr>
          <w:lang w:val="en-GB"/>
        </w:rPr>
        <w:t>could be</w:t>
      </w:r>
      <w:r w:rsidR="0079714B">
        <w:rPr>
          <w:lang w:val="en-GB"/>
        </w:rPr>
        <w:t xml:space="preserve"> </w:t>
      </w:r>
      <w:r w:rsidR="005924EA">
        <w:rPr>
          <w:lang w:val="en-GB"/>
        </w:rPr>
        <w:t>attributed</w:t>
      </w:r>
      <w:r w:rsidR="0079714B">
        <w:rPr>
          <w:lang w:val="en-GB"/>
        </w:rPr>
        <w:t xml:space="preserve"> </w:t>
      </w:r>
      <w:r w:rsidR="005924EA">
        <w:rPr>
          <w:lang w:val="en-GB"/>
        </w:rPr>
        <w:t>to</w:t>
      </w:r>
      <w:r w:rsidR="0079714B">
        <w:rPr>
          <w:lang w:val="en-GB"/>
        </w:rPr>
        <w:t xml:space="preserve"> the solvent effect.</w:t>
      </w:r>
      <w:r w:rsidR="00190E88">
        <w:rPr>
          <w:lang w:val="en-GB"/>
        </w:rPr>
        <w:t xml:space="preserve"> </w:t>
      </w:r>
      <w:r w:rsidR="0079714B">
        <w:rPr>
          <w:lang w:val="en-GB"/>
        </w:rPr>
        <w:t>A</w:t>
      </w:r>
      <w:r w:rsidR="00190E88">
        <w:rPr>
          <w:lang w:val="en-GB"/>
        </w:rPr>
        <w:t xml:space="preserve">t </w:t>
      </w:r>
      <w:proofErr w:type="spellStart"/>
      <w:r w:rsidR="00190E88" w:rsidRPr="00905DD7">
        <w:rPr>
          <w:i/>
          <w:iCs/>
          <w:lang w:val="en-GB"/>
        </w:rPr>
        <w:t>χ</w:t>
      </w:r>
      <w:r w:rsidR="00190E88" w:rsidRPr="00905DD7">
        <w:rPr>
          <w:vertAlign w:val="subscript"/>
          <w:lang w:val="en-GB"/>
        </w:rPr>
        <w:t>M</w:t>
      </w:r>
      <w:proofErr w:type="spellEnd"/>
      <w:r w:rsidR="00190E88" w:rsidRPr="00905DD7">
        <w:rPr>
          <w:vertAlign w:val="subscript"/>
          <w:lang w:val="en-GB"/>
        </w:rPr>
        <w:t>(</w:t>
      </w:r>
      <w:proofErr w:type="spellStart"/>
      <w:r w:rsidR="00190E88" w:rsidRPr="00905DD7">
        <w:rPr>
          <w:vertAlign w:val="subscript"/>
          <w:lang w:val="en-GB"/>
        </w:rPr>
        <w:t>OTf</w:t>
      </w:r>
      <w:proofErr w:type="spellEnd"/>
      <w:r w:rsidR="00190E88" w:rsidRPr="00905DD7">
        <w:rPr>
          <w:vertAlign w:val="subscript"/>
          <w:lang w:val="en-GB"/>
        </w:rPr>
        <w:t>)3</w:t>
      </w:r>
      <w:r w:rsidR="00190E88">
        <w:rPr>
          <w:lang w:val="en-GB"/>
        </w:rPr>
        <w:t xml:space="preserve"> = 0.09, </w:t>
      </w:r>
      <w:r w:rsidR="0079714B">
        <w:rPr>
          <w:lang w:val="en-GB"/>
        </w:rPr>
        <w:t>the neat sample</w:t>
      </w:r>
      <w:r w:rsidR="00190E88">
        <w:rPr>
          <w:lang w:val="en-GB"/>
        </w:rPr>
        <w:t xml:space="preserve"> is a solution of M(</w:t>
      </w:r>
      <w:proofErr w:type="spellStart"/>
      <w:r w:rsidR="00190E88">
        <w:rPr>
          <w:lang w:val="en-GB"/>
        </w:rPr>
        <w:t>OTf</w:t>
      </w:r>
      <w:proofErr w:type="spellEnd"/>
      <w:r w:rsidR="00190E88">
        <w:rPr>
          <w:lang w:val="en-GB"/>
        </w:rPr>
        <w:t>)</w:t>
      </w:r>
      <w:r w:rsidR="00190E88" w:rsidRPr="00A837DA">
        <w:rPr>
          <w:vertAlign w:val="subscript"/>
          <w:lang w:val="en-GB"/>
        </w:rPr>
        <w:t>3</w:t>
      </w:r>
      <w:r w:rsidR="00190E88">
        <w:rPr>
          <w:lang w:val="en-GB"/>
        </w:rPr>
        <w:t xml:space="preserve"> in a molecular solvent (glyme). </w:t>
      </w:r>
      <w:r w:rsidR="0079714B">
        <w:rPr>
          <w:lang w:val="en-GB"/>
        </w:rPr>
        <w:t xml:space="preserve">At higher </w:t>
      </w:r>
      <w:proofErr w:type="spellStart"/>
      <w:r w:rsidR="0079714B" w:rsidRPr="00905DD7">
        <w:rPr>
          <w:i/>
          <w:iCs/>
          <w:lang w:val="en-GB"/>
        </w:rPr>
        <w:t>χ</w:t>
      </w:r>
      <w:r w:rsidR="0079714B" w:rsidRPr="00905DD7">
        <w:rPr>
          <w:vertAlign w:val="subscript"/>
          <w:lang w:val="en-GB"/>
        </w:rPr>
        <w:t>M</w:t>
      </w:r>
      <w:proofErr w:type="spellEnd"/>
      <w:r w:rsidR="0079714B" w:rsidRPr="00905DD7">
        <w:rPr>
          <w:vertAlign w:val="subscript"/>
          <w:lang w:val="en-GB"/>
        </w:rPr>
        <w:t>(</w:t>
      </w:r>
      <w:proofErr w:type="spellStart"/>
      <w:r w:rsidR="0079714B" w:rsidRPr="00905DD7">
        <w:rPr>
          <w:vertAlign w:val="subscript"/>
          <w:lang w:val="en-GB"/>
        </w:rPr>
        <w:t>OTf</w:t>
      </w:r>
      <w:proofErr w:type="spellEnd"/>
      <w:r w:rsidR="0079714B" w:rsidRPr="00905DD7">
        <w:rPr>
          <w:vertAlign w:val="subscript"/>
          <w:lang w:val="en-GB"/>
        </w:rPr>
        <w:t>)3</w:t>
      </w:r>
      <w:r w:rsidR="0079714B">
        <w:rPr>
          <w:lang w:val="en-GB"/>
        </w:rPr>
        <w:t xml:space="preserve"> values</w:t>
      </w:r>
      <w:r w:rsidR="00190E88">
        <w:rPr>
          <w:lang w:val="en-GB"/>
        </w:rPr>
        <w:t xml:space="preserve">, </w:t>
      </w:r>
      <w:r w:rsidR="0079714B">
        <w:rPr>
          <w:lang w:val="en-GB"/>
        </w:rPr>
        <w:t>a significant proportion of glyme is coordinated to the metal centre, and the sample resembles a “good” SIL, with strong Coulombic interactions</w:t>
      </w:r>
      <w:r w:rsidR="005A7272">
        <w:rPr>
          <w:lang w:val="en-GB"/>
        </w:rPr>
        <w:t xml:space="preserve">. </w:t>
      </w:r>
      <w:r w:rsidR="005924EA">
        <w:rPr>
          <w:lang w:val="en-GB"/>
        </w:rPr>
        <w:t>In b</w:t>
      </w:r>
      <w:r w:rsidR="005924EA" w:rsidRPr="00905DD7">
        <w:rPr>
          <w:lang w:val="en-GB"/>
        </w:rPr>
        <w:t>oth Al-</w:t>
      </w:r>
      <w:r w:rsidR="005924EA">
        <w:rPr>
          <w:lang w:val="en-GB"/>
        </w:rPr>
        <w:t>SILs</w:t>
      </w:r>
      <w:r w:rsidR="005924EA" w:rsidRPr="00905DD7">
        <w:rPr>
          <w:lang w:val="en-GB"/>
        </w:rPr>
        <w:t xml:space="preserve"> and Ga- SILs</w:t>
      </w:r>
      <w:r w:rsidR="005924EA">
        <w:rPr>
          <w:lang w:val="en-GB"/>
        </w:rPr>
        <w:t xml:space="preserve">, this transition from solution to SIL environment is observable for </w:t>
      </w:r>
      <w:proofErr w:type="spellStart"/>
      <w:r w:rsidR="005924EA" w:rsidRPr="00905DD7">
        <w:rPr>
          <w:i/>
          <w:iCs/>
          <w:lang w:val="en-GB"/>
        </w:rPr>
        <w:t>χ</w:t>
      </w:r>
      <w:r w:rsidR="005924EA" w:rsidRPr="00905DD7">
        <w:rPr>
          <w:vertAlign w:val="subscript"/>
          <w:lang w:val="en-GB"/>
        </w:rPr>
        <w:t>M</w:t>
      </w:r>
      <w:proofErr w:type="spellEnd"/>
      <w:r w:rsidR="005924EA" w:rsidRPr="00905DD7">
        <w:rPr>
          <w:vertAlign w:val="subscript"/>
          <w:lang w:val="en-GB"/>
        </w:rPr>
        <w:t>(</w:t>
      </w:r>
      <w:proofErr w:type="spellStart"/>
      <w:r w:rsidR="005924EA" w:rsidRPr="00905DD7">
        <w:rPr>
          <w:vertAlign w:val="subscript"/>
          <w:lang w:val="en-GB"/>
        </w:rPr>
        <w:t>OTf</w:t>
      </w:r>
      <w:proofErr w:type="spellEnd"/>
      <w:r w:rsidR="005924EA" w:rsidRPr="00905DD7">
        <w:rPr>
          <w:vertAlign w:val="subscript"/>
          <w:lang w:val="en-GB"/>
        </w:rPr>
        <w:t>)3</w:t>
      </w:r>
      <w:r w:rsidR="005924EA">
        <w:rPr>
          <w:lang w:val="en-GB"/>
        </w:rPr>
        <w:t xml:space="preserve"> ≥ 0.20. </w:t>
      </w:r>
    </w:p>
    <w:p w14:paraId="47A395C1" w14:textId="77777777" w:rsidR="00B2193E" w:rsidRPr="00905DD7" w:rsidRDefault="00B2193E" w:rsidP="008B5D06">
      <w:pPr>
        <w:pStyle w:val="RSCI02FigureSchemeChartwithtopbar"/>
      </w:pPr>
      <w:r w:rsidRPr="00905DD7">
        <w:rPr>
          <w:noProof/>
        </w:rPr>
        <w:lastRenderedPageBreak/>
        <w:drawing>
          <wp:inline distT="0" distB="0" distL="0" distR="0" wp14:anchorId="4CDC07A7" wp14:editId="036DE903">
            <wp:extent cx="2988000" cy="2069245"/>
            <wp:effectExtent l="0" t="0" r="3175" b="7620"/>
            <wp:docPr id="1403032760" name="Obraz 2093371982" descr="Obraz zawierający tekst, linia, Czcionk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2760" name="Obraz 2093371982" descr="Obraz zawierający tekst, linia, Czcionka, Wykres&#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88000" cy="2069245"/>
                    </a:xfrm>
                    <a:prstGeom prst="rect">
                      <a:avLst/>
                    </a:prstGeom>
                    <a:noFill/>
                  </pic:spPr>
                </pic:pic>
              </a:graphicData>
            </a:graphic>
          </wp:inline>
        </w:drawing>
      </w:r>
      <w:r w:rsidRPr="00905DD7">
        <w:t xml:space="preserve"> </w:t>
      </w:r>
    </w:p>
    <w:p w14:paraId="69B4E23B" w14:textId="54CE4908" w:rsidR="00B2193E" w:rsidRPr="00905DD7" w:rsidRDefault="00B2193E" w:rsidP="008B5D06">
      <w:pPr>
        <w:pStyle w:val="RSCI05CaptiontoFigureSchemeChartwithbottombar"/>
      </w:pPr>
      <w:r w:rsidRPr="00905DD7">
        <w:rPr>
          <w:b/>
        </w:rPr>
        <w:t xml:space="preserve">Figure </w:t>
      </w:r>
      <w:r w:rsidR="00093EF0">
        <w:rPr>
          <w:b/>
        </w:rPr>
        <w:t>8</w:t>
      </w:r>
      <w:r w:rsidRPr="00905DD7">
        <w:rPr>
          <w:b/>
        </w:rPr>
        <w:t>.</w:t>
      </w:r>
      <w:r w:rsidRPr="00905DD7">
        <w:t xml:space="preserve"> </w:t>
      </w:r>
      <w:r w:rsidRPr="00905DD7">
        <w:rPr>
          <w:vertAlign w:val="superscript"/>
        </w:rPr>
        <w:t>19</w:t>
      </w:r>
      <w:r w:rsidRPr="00905DD7">
        <w:t xml:space="preserve">F NMR spectra of full series of Al-SILs, </w:t>
      </w:r>
      <w:r w:rsidRPr="00905DD7">
        <w:rPr>
          <w:i/>
          <w:iCs/>
        </w:rPr>
        <w:t>χ</w:t>
      </w:r>
      <w:r w:rsidRPr="00905DD7">
        <w:rPr>
          <w:vertAlign w:val="subscript"/>
        </w:rPr>
        <w:t>Al(</w:t>
      </w:r>
      <w:proofErr w:type="spellStart"/>
      <w:r w:rsidRPr="00905DD7">
        <w:rPr>
          <w:vertAlign w:val="subscript"/>
        </w:rPr>
        <w:t>OTf</w:t>
      </w:r>
      <w:proofErr w:type="spellEnd"/>
      <w:r w:rsidRPr="00905DD7">
        <w:rPr>
          <w:vertAlign w:val="subscript"/>
        </w:rPr>
        <w:t>)3</w:t>
      </w:r>
      <w:r w:rsidRPr="00905DD7">
        <w:t> = 0.33-0.09.</w:t>
      </w:r>
    </w:p>
    <w:p w14:paraId="5B57D875" w14:textId="007537DD" w:rsidR="00B2193E" w:rsidRPr="00905DD7" w:rsidRDefault="00B2193E" w:rsidP="008B5D06">
      <w:pPr>
        <w:pStyle w:val="RSCI02FigureSchemeChartwithtopbar"/>
      </w:pPr>
      <w:r w:rsidRPr="00905DD7">
        <w:rPr>
          <w:noProof/>
        </w:rPr>
        <w:drawing>
          <wp:inline distT="0" distB="0" distL="0" distR="0" wp14:anchorId="1CCC8C58" wp14:editId="39A82A5C">
            <wp:extent cx="2988000" cy="2071134"/>
            <wp:effectExtent l="0" t="0" r="3175" b="5715"/>
            <wp:docPr id="1672395790" name="Obraz 107113095" descr="Obraz zawierający tekst, linia,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395790" name="Obraz 107113095" descr="Obraz zawierający tekst, linia, zrzut ekranu, Czcionka&#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988000" cy="2071134"/>
                    </a:xfrm>
                    <a:prstGeom prst="rect">
                      <a:avLst/>
                    </a:prstGeom>
                    <a:noFill/>
                  </pic:spPr>
                </pic:pic>
              </a:graphicData>
            </a:graphic>
          </wp:inline>
        </w:drawing>
      </w:r>
      <w:r w:rsidRPr="00905DD7">
        <w:t xml:space="preserve"> </w:t>
      </w:r>
    </w:p>
    <w:p w14:paraId="5417F757" w14:textId="5D41658F" w:rsidR="00B2193E" w:rsidRPr="00905DD7" w:rsidRDefault="00B2193E" w:rsidP="00300513">
      <w:pPr>
        <w:pStyle w:val="RSCI05CaptiontoFigureSchemeChartwithbottombar"/>
      </w:pPr>
      <w:r w:rsidRPr="00905DD7">
        <w:rPr>
          <w:b/>
        </w:rPr>
        <w:t xml:space="preserve">Figure </w:t>
      </w:r>
      <w:r w:rsidR="00093EF0">
        <w:rPr>
          <w:b/>
        </w:rPr>
        <w:t>9</w:t>
      </w:r>
      <w:r w:rsidRPr="00905DD7">
        <w:rPr>
          <w:b/>
        </w:rPr>
        <w:t>.</w:t>
      </w:r>
      <w:r w:rsidRPr="00905DD7">
        <w:t xml:space="preserve"> </w:t>
      </w:r>
      <w:r w:rsidRPr="00905DD7">
        <w:rPr>
          <w:vertAlign w:val="superscript"/>
        </w:rPr>
        <w:t>19</w:t>
      </w:r>
      <w:r w:rsidRPr="00905DD7">
        <w:t>F NMR spectra of full series of Ga-</w:t>
      </w:r>
      <w:proofErr w:type="spellStart"/>
      <w:r w:rsidRPr="00905DD7">
        <w:t>SIls</w:t>
      </w:r>
      <w:proofErr w:type="spellEnd"/>
      <w:r w:rsidRPr="00905DD7">
        <w:t xml:space="preserve">, </w:t>
      </w:r>
      <w:proofErr w:type="spellStart"/>
      <w:r w:rsidRPr="00905DD7">
        <w:rPr>
          <w:i/>
          <w:iCs/>
        </w:rPr>
        <w:t>χ</w:t>
      </w:r>
      <w:r w:rsidRPr="00905DD7">
        <w:rPr>
          <w:vertAlign w:val="subscript"/>
        </w:rPr>
        <w:t>Ga</w:t>
      </w:r>
      <w:proofErr w:type="spellEnd"/>
      <w:r w:rsidRPr="00905DD7">
        <w:rPr>
          <w:vertAlign w:val="subscript"/>
        </w:rPr>
        <w:t>(</w:t>
      </w:r>
      <w:proofErr w:type="spellStart"/>
      <w:r w:rsidRPr="00905DD7">
        <w:rPr>
          <w:vertAlign w:val="subscript"/>
        </w:rPr>
        <w:t>OTf</w:t>
      </w:r>
      <w:proofErr w:type="spellEnd"/>
      <w:r w:rsidRPr="00905DD7">
        <w:rPr>
          <w:vertAlign w:val="subscript"/>
        </w:rPr>
        <w:t>)3</w:t>
      </w:r>
      <w:r w:rsidRPr="00905DD7">
        <w:t> = 0.33-0.09.</w:t>
      </w:r>
    </w:p>
    <w:p w14:paraId="09715B2E" w14:textId="0108C1AF" w:rsidR="0025298F" w:rsidRDefault="00B2193E" w:rsidP="00481DFE">
      <w:pPr>
        <w:pStyle w:val="RSCB02ArticleText"/>
        <w:ind w:firstLine="284"/>
        <w:rPr>
          <w:lang w:val="en-GB"/>
        </w:rPr>
      </w:pPr>
      <w:r w:rsidRPr="00905DD7">
        <w:rPr>
          <w:lang w:val="en-GB"/>
        </w:rPr>
        <w:t>In conclusion, NMR spectroscopy points to both aluminium and gallium having octahedral coordination, with both [</w:t>
      </w:r>
      <w:proofErr w:type="spellStart"/>
      <w:r w:rsidRPr="00905DD7">
        <w:rPr>
          <w:lang w:val="en-GB"/>
        </w:rPr>
        <w:t>OTf</w:t>
      </w:r>
      <w:proofErr w:type="spellEnd"/>
      <w:r w:rsidRPr="00905DD7">
        <w:rPr>
          <w:lang w:val="en-GB"/>
        </w:rPr>
        <w:t>]</w:t>
      </w:r>
      <w:r w:rsidRPr="00905DD7">
        <w:rPr>
          <w:vertAlign w:val="superscript"/>
          <w:lang w:val="en-GB"/>
        </w:rPr>
        <w:t>-</w:t>
      </w:r>
      <w:r w:rsidRPr="00905DD7">
        <w:rPr>
          <w:lang w:val="en-GB"/>
        </w:rPr>
        <w:t xml:space="preserve"> and G3 ligands coordinated to the metal centre. </w:t>
      </w:r>
      <w:r w:rsidR="005924EA">
        <w:rPr>
          <w:lang w:val="en-GB"/>
        </w:rPr>
        <w:t>I</w:t>
      </w:r>
      <w:r w:rsidRPr="00905DD7">
        <w:rPr>
          <w:lang w:val="en-GB"/>
        </w:rPr>
        <w:t>t can be certainly stated that there is no single well-defined species</w:t>
      </w:r>
      <w:r w:rsidR="00F877D8">
        <w:rPr>
          <w:lang w:val="en-GB"/>
        </w:rPr>
        <w:t xml:space="preserve"> in any sample</w:t>
      </w:r>
      <w:r w:rsidRPr="00905DD7">
        <w:rPr>
          <w:lang w:val="en-GB"/>
        </w:rPr>
        <w:t>, but there are multiple octahedral complexes</w:t>
      </w:r>
      <w:r w:rsidR="00F877D8">
        <w:rPr>
          <w:lang w:val="en-GB"/>
        </w:rPr>
        <w:t>, each</w:t>
      </w:r>
      <w:r w:rsidR="00F877D8" w:rsidRPr="00905DD7">
        <w:rPr>
          <w:lang w:val="en-GB"/>
        </w:rPr>
        <w:t xml:space="preserve"> </w:t>
      </w:r>
      <w:r w:rsidR="00F877D8">
        <w:rPr>
          <w:lang w:val="en-GB"/>
        </w:rPr>
        <w:t>characterised by a</w:t>
      </w:r>
      <w:r w:rsidR="00F877D8" w:rsidRPr="00905DD7">
        <w:rPr>
          <w:lang w:val="en-GB"/>
        </w:rPr>
        <w:t xml:space="preserve"> number of [</w:t>
      </w:r>
      <w:proofErr w:type="spellStart"/>
      <w:r w:rsidR="00F877D8" w:rsidRPr="00905DD7">
        <w:rPr>
          <w:lang w:val="en-GB"/>
        </w:rPr>
        <w:t>OTf</w:t>
      </w:r>
      <w:proofErr w:type="spellEnd"/>
      <w:r w:rsidR="00F877D8" w:rsidRPr="00905DD7">
        <w:rPr>
          <w:lang w:val="en-GB"/>
        </w:rPr>
        <w:t>]</w:t>
      </w:r>
      <w:r w:rsidR="00F877D8" w:rsidRPr="00905DD7">
        <w:rPr>
          <w:vertAlign w:val="superscript"/>
          <w:lang w:val="en-GB"/>
        </w:rPr>
        <w:t>-</w:t>
      </w:r>
      <w:r w:rsidR="00F877D8">
        <w:rPr>
          <w:lang w:val="en-GB"/>
        </w:rPr>
        <w:t xml:space="preserve"> anions</w:t>
      </w:r>
      <w:r w:rsidR="00F877D8" w:rsidRPr="00905DD7">
        <w:rPr>
          <w:lang w:val="en-GB"/>
        </w:rPr>
        <w:t xml:space="preserve"> and </w:t>
      </w:r>
      <w:r w:rsidR="00F877D8">
        <w:rPr>
          <w:lang w:val="en-GB"/>
        </w:rPr>
        <w:t>specific</w:t>
      </w:r>
      <w:r w:rsidR="00F877D8" w:rsidRPr="00905DD7">
        <w:rPr>
          <w:lang w:val="en-GB"/>
        </w:rPr>
        <w:t xml:space="preserve"> </w:t>
      </w:r>
      <w:r w:rsidR="00F877D8">
        <w:rPr>
          <w:lang w:val="en-GB"/>
        </w:rPr>
        <w:t>numbers/</w:t>
      </w:r>
      <w:r w:rsidR="00F877D8" w:rsidRPr="00905DD7">
        <w:rPr>
          <w:lang w:val="en-GB"/>
        </w:rPr>
        <w:t>hapticities of G3 ligands</w:t>
      </w:r>
      <w:r w:rsidR="00F877D8">
        <w:rPr>
          <w:lang w:val="en-GB"/>
        </w:rPr>
        <w:t xml:space="preserve"> around the metal centre.</w:t>
      </w:r>
      <w:r w:rsidR="00F877D8" w:rsidRPr="00F877D8">
        <w:rPr>
          <w:lang w:val="en-GB"/>
        </w:rPr>
        <w:t xml:space="preserve"> </w:t>
      </w:r>
    </w:p>
    <w:p w14:paraId="713884EF" w14:textId="027585CF" w:rsidR="00F877D8" w:rsidRDefault="00F877D8" w:rsidP="00481DFE">
      <w:pPr>
        <w:pStyle w:val="RSCB02ArticleText"/>
        <w:ind w:firstLine="284"/>
        <w:rPr>
          <w:lang w:val="en-GB"/>
        </w:rPr>
      </w:pPr>
      <w:r>
        <w:rPr>
          <w:lang w:val="en-GB"/>
        </w:rPr>
        <w:t xml:space="preserve">Comparing </w:t>
      </w:r>
      <w:r w:rsidRPr="00515B79">
        <w:rPr>
          <w:vertAlign w:val="superscript"/>
          <w:lang w:val="en-GB"/>
        </w:rPr>
        <w:t>19</w:t>
      </w:r>
      <w:r>
        <w:rPr>
          <w:lang w:val="en-GB"/>
        </w:rPr>
        <w:t xml:space="preserve">F </w:t>
      </w:r>
      <w:r w:rsidR="00E36F5C">
        <w:rPr>
          <w:lang w:val="en-GB"/>
        </w:rPr>
        <w:t xml:space="preserve">NMR </w:t>
      </w:r>
      <w:r>
        <w:rPr>
          <w:lang w:val="en-GB"/>
        </w:rPr>
        <w:t xml:space="preserve">spectra of Al-SILs (Figure </w:t>
      </w:r>
      <w:r w:rsidR="00317B1E">
        <w:rPr>
          <w:lang w:val="en-GB"/>
        </w:rPr>
        <w:t>8</w:t>
      </w:r>
      <w:r>
        <w:rPr>
          <w:lang w:val="en-GB"/>
        </w:rPr>
        <w:t xml:space="preserve">) and Ga-SILs (Figure </w:t>
      </w:r>
      <w:r w:rsidR="00317B1E">
        <w:rPr>
          <w:lang w:val="en-GB"/>
        </w:rPr>
        <w:t>9</w:t>
      </w:r>
      <w:r>
        <w:rPr>
          <w:lang w:val="en-GB"/>
        </w:rPr>
        <w:t xml:space="preserve">), further conclusions </w:t>
      </w:r>
      <w:r w:rsidR="00E36F5C">
        <w:rPr>
          <w:lang w:val="en-GB"/>
        </w:rPr>
        <w:t>could</w:t>
      </w:r>
      <w:r>
        <w:rPr>
          <w:lang w:val="en-GB"/>
        </w:rPr>
        <w:t xml:space="preserve"> be cautiously proposed. Firstly, although there are multiple species, both </w:t>
      </w:r>
      <w:r w:rsidR="00481DFE">
        <w:rPr>
          <w:lang w:val="en-GB"/>
        </w:rPr>
        <w:t>in</w:t>
      </w:r>
      <w:r>
        <w:rPr>
          <w:lang w:val="en-GB"/>
        </w:rPr>
        <w:t xml:space="preserve"> Al-SIL and in Ga-SIL, they do not seem to change as a function of </w:t>
      </w:r>
      <w:proofErr w:type="spellStart"/>
      <w:r w:rsidRPr="00905DD7">
        <w:rPr>
          <w:i/>
          <w:iCs/>
          <w:lang w:val="en-GB"/>
        </w:rPr>
        <w:t>χ</w:t>
      </w:r>
      <w:r w:rsidRPr="00905DD7">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sidR="00481DFE">
        <w:rPr>
          <w:lang w:val="en-GB"/>
        </w:rPr>
        <w:t xml:space="preserve"> in either system. R</w:t>
      </w:r>
      <w:r>
        <w:rPr>
          <w:lang w:val="en-GB"/>
        </w:rPr>
        <w:t xml:space="preserve">ather, it could be envisaged that the </w:t>
      </w:r>
      <w:proofErr w:type="spellStart"/>
      <w:r w:rsidRPr="00905DD7">
        <w:rPr>
          <w:i/>
          <w:iCs/>
          <w:lang w:val="en-GB"/>
        </w:rPr>
        <w:t>χ</w:t>
      </w:r>
      <w:r w:rsidRPr="00905DD7">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Pr>
          <w:lang w:val="en-GB"/>
        </w:rPr>
        <w:t xml:space="preserve"> = 0.33 </w:t>
      </w:r>
      <w:r w:rsidR="00481DFE">
        <w:rPr>
          <w:lang w:val="en-GB"/>
        </w:rPr>
        <w:t xml:space="preserve">composition </w:t>
      </w:r>
      <w:r>
        <w:rPr>
          <w:lang w:val="en-GB"/>
        </w:rPr>
        <w:t xml:space="preserve">is the concentrated SIL and </w:t>
      </w:r>
      <w:r w:rsidR="00E36F5C">
        <w:rPr>
          <w:lang w:val="en-GB"/>
        </w:rPr>
        <w:t xml:space="preserve">adding more glyme (towards </w:t>
      </w:r>
      <w:proofErr w:type="spellStart"/>
      <w:r w:rsidR="00E36F5C" w:rsidRPr="00905DD7">
        <w:rPr>
          <w:i/>
          <w:iCs/>
          <w:lang w:val="en-GB"/>
        </w:rPr>
        <w:t>χ</w:t>
      </w:r>
      <w:r w:rsidR="00E36F5C" w:rsidRPr="00905DD7">
        <w:rPr>
          <w:vertAlign w:val="subscript"/>
          <w:lang w:val="en-GB"/>
        </w:rPr>
        <w:t>M</w:t>
      </w:r>
      <w:proofErr w:type="spellEnd"/>
      <w:r w:rsidR="00E36F5C" w:rsidRPr="00905DD7">
        <w:rPr>
          <w:vertAlign w:val="subscript"/>
          <w:lang w:val="en-GB"/>
        </w:rPr>
        <w:t>(</w:t>
      </w:r>
      <w:proofErr w:type="spellStart"/>
      <w:r w:rsidR="00E36F5C" w:rsidRPr="00905DD7">
        <w:rPr>
          <w:vertAlign w:val="subscript"/>
          <w:lang w:val="en-GB"/>
        </w:rPr>
        <w:t>OTf</w:t>
      </w:r>
      <w:proofErr w:type="spellEnd"/>
      <w:r w:rsidR="00E36F5C" w:rsidRPr="00905DD7">
        <w:rPr>
          <w:vertAlign w:val="subscript"/>
          <w:lang w:val="en-GB"/>
        </w:rPr>
        <w:t>)3</w:t>
      </w:r>
      <w:r w:rsidR="00E36F5C">
        <w:rPr>
          <w:lang w:val="en-GB"/>
        </w:rPr>
        <w:t xml:space="preserve"> = 0.09) dilutes the metal species without affecting their coordination environments. </w:t>
      </w:r>
      <w:r w:rsidR="0025298F">
        <w:rPr>
          <w:lang w:val="en-GB"/>
        </w:rPr>
        <w:t xml:space="preserve">AN </w:t>
      </w:r>
      <w:r w:rsidR="00C6265D">
        <w:rPr>
          <w:lang w:val="en-GB"/>
        </w:rPr>
        <w:t>measurements</w:t>
      </w:r>
      <w:r w:rsidR="0025298F">
        <w:rPr>
          <w:lang w:val="en-GB"/>
        </w:rPr>
        <w:t xml:space="preserve"> corroborate with this hypothesis, as the range of AN values appears constant for each family of SILs (Table 1). </w:t>
      </w:r>
      <w:r w:rsidR="00E36F5C">
        <w:rPr>
          <w:lang w:val="en-GB"/>
        </w:rPr>
        <w:t xml:space="preserve">Secondly, </w:t>
      </w:r>
      <w:r w:rsidR="00E36F5C" w:rsidRPr="00515B79">
        <w:rPr>
          <w:vertAlign w:val="superscript"/>
          <w:lang w:val="en-GB"/>
        </w:rPr>
        <w:t>19</w:t>
      </w:r>
      <w:r w:rsidR="00E36F5C">
        <w:rPr>
          <w:lang w:val="en-GB"/>
        </w:rPr>
        <w:t xml:space="preserve">F NMR spectra of Al-SILs and Ga-SILs are markedly different; there seems to be an additional </w:t>
      </w:r>
      <w:proofErr w:type="spellStart"/>
      <w:r w:rsidR="00E36F5C">
        <w:rPr>
          <w:lang w:val="en-GB"/>
        </w:rPr>
        <w:t>deshielded</w:t>
      </w:r>
      <w:proofErr w:type="spellEnd"/>
      <w:r w:rsidR="00E36F5C">
        <w:rPr>
          <w:lang w:val="en-GB"/>
        </w:rPr>
        <w:t xml:space="preserve"> signal in the Al-SILs spectra, which reaches -80.2 ppm for </w:t>
      </w:r>
      <w:r w:rsidR="00E36F5C" w:rsidRPr="00905DD7">
        <w:rPr>
          <w:i/>
          <w:iCs/>
          <w:lang w:val="en-GB"/>
        </w:rPr>
        <w:t>χ</w:t>
      </w:r>
      <w:r w:rsidR="00E36F5C">
        <w:rPr>
          <w:vertAlign w:val="subscript"/>
          <w:lang w:val="en-GB"/>
        </w:rPr>
        <w:t>Al</w:t>
      </w:r>
      <w:r w:rsidR="00E36F5C" w:rsidRPr="00905DD7">
        <w:rPr>
          <w:vertAlign w:val="subscript"/>
          <w:lang w:val="en-GB"/>
        </w:rPr>
        <w:t>(</w:t>
      </w:r>
      <w:proofErr w:type="spellStart"/>
      <w:r w:rsidR="00E36F5C" w:rsidRPr="00905DD7">
        <w:rPr>
          <w:vertAlign w:val="subscript"/>
          <w:lang w:val="en-GB"/>
        </w:rPr>
        <w:t>OTf</w:t>
      </w:r>
      <w:proofErr w:type="spellEnd"/>
      <w:r w:rsidR="00E36F5C" w:rsidRPr="00905DD7">
        <w:rPr>
          <w:vertAlign w:val="subscript"/>
          <w:lang w:val="en-GB"/>
        </w:rPr>
        <w:t>)3</w:t>
      </w:r>
      <w:r w:rsidR="00E36F5C">
        <w:rPr>
          <w:lang w:val="en-GB"/>
        </w:rPr>
        <w:t xml:space="preserve"> = 0.33</w:t>
      </w:r>
      <w:r w:rsidR="002266A9">
        <w:rPr>
          <w:lang w:val="en-GB"/>
        </w:rPr>
        <w:t xml:space="preserve"> (more ionic nature, </w:t>
      </w:r>
      <w:r w:rsidR="002266A9" w:rsidRPr="00C6265D">
        <w:rPr>
          <w:i/>
          <w:iCs/>
          <w:lang w:val="en-GB"/>
        </w:rPr>
        <w:t>viz</w:t>
      </w:r>
      <w:r w:rsidR="002266A9">
        <w:rPr>
          <w:lang w:val="en-GB"/>
        </w:rPr>
        <w:t>. Figure 2b)</w:t>
      </w:r>
      <w:r w:rsidR="00481DFE">
        <w:rPr>
          <w:lang w:val="en-GB"/>
        </w:rPr>
        <w:t>. In Ga-SILs,</w:t>
      </w:r>
      <w:r w:rsidR="00E36F5C">
        <w:rPr>
          <w:lang w:val="en-GB"/>
        </w:rPr>
        <w:t xml:space="preserve"> </w:t>
      </w:r>
      <w:r w:rsidR="00481DFE">
        <w:rPr>
          <w:lang w:val="en-GB"/>
        </w:rPr>
        <w:t>all triflates appear to be bound</w:t>
      </w:r>
      <w:r w:rsidR="002266A9">
        <w:rPr>
          <w:lang w:val="en-GB"/>
        </w:rPr>
        <w:t>, suggesting that the equilibrium in Figure 2b is right- shifted for gallium</w:t>
      </w:r>
      <w:r w:rsidR="00E36F5C">
        <w:rPr>
          <w:lang w:val="en-GB"/>
        </w:rPr>
        <w:t>.</w:t>
      </w:r>
    </w:p>
    <w:p w14:paraId="04883B40" w14:textId="77777777" w:rsidR="008B5D06" w:rsidRDefault="00481DFE" w:rsidP="00B73650">
      <w:pPr>
        <w:pStyle w:val="RSCB02ArticleText"/>
        <w:ind w:firstLine="284"/>
        <w:rPr>
          <w:lang w:val="en-GB"/>
        </w:rPr>
      </w:pPr>
      <w:r>
        <w:rPr>
          <w:lang w:val="en-GB"/>
        </w:rPr>
        <w:t>Notably, i</w:t>
      </w:r>
      <w:r w:rsidR="00B2193E" w:rsidRPr="00905DD7">
        <w:rPr>
          <w:lang w:val="en-GB"/>
        </w:rPr>
        <w:t xml:space="preserve">n all samples, there is excess of </w:t>
      </w:r>
      <w:r w:rsidR="00B2193E" w:rsidRPr="00905DD7">
        <w:rPr>
          <w:i/>
          <w:iCs/>
          <w:lang w:val="en-GB"/>
        </w:rPr>
        <w:t>O</w:t>
      </w:r>
      <w:r w:rsidR="00B2193E" w:rsidRPr="00905DD7">
        <w:rPr>
          <w:lang w:val="en-GB"/>
        </w:rPr>
        <w:noBreakHyphen/>
        <w:t>donors with respect to metal centres</w:t>
      </w:r>
      <w:r w:rsidR="0011439F">
        <w:rPr>
          <w:lang w:val="en-GB"/>
        </w:rPr>
        <w:t>.</w:t>
      </w:r>
      <w:r w:rsidR="00B2193E" w:rsidRPr="00905DD7">
        <w:rPr>
          <w:lang w:val="en-GB"/>
        </w:rPr>
        <w:t xml:space="preserve"> </w:t>
      </w:r>
      <w:r w:rsidR="0011439F">
        <w:rPr>
          <w:lang w:val="en-GB"/>
        </w:rPr>
        <w:t>Although</w:t>
      </w:r>
      <w:r w:rsidR="0011439F" w:rsidRPr="00905DD7">
        <w:rPr>
          <w:lang w:val="en-GB"/>
        </w:rPr>
        <w:t xml:space="preserve"> </w:t>
      </w:r>
      <w:r w:rsidR="00B2193E" w:rsidRPr="00905DD7">
        <w:rPr>
          <w:lang w:val="en-GB"/>
        </w:rPr>
        <w:t xml:space="preserve">no free </w:t>
      </w:r>
      <w:proofErr w:type="spellStart"/>
      <w:r w:rsidR="00B2193E" w:rsidRPr="00905DD7">
        <w:rPr>
          <w:lang w:val="en-GB"/>
        </w:rPr>
        <w:t>glymes</w:t>
      </w:r>
      <w:proofErr w:type="spellEnd"/>
      <w:r w:rsidR="00B2193E" w:rsidRPr="00905DD7">
        <w:rPr>
          <w:lang w:val="en-GB"/>
        </w:rPr>
        <w:t xml:space="preserve"> </w:t>
      </w:r>
      <w:r w:rsidR="0011439F">
        <w:rPr>
          <w:lang w:val="en-GB"/>
        </w:rPr>
        <w:t xml:space="preserve">were detected by </w:t>
      </w:r>
      <w:r w:rsidR="0011439F" w:rsidRPr="008B5D06">
        <w:rPr>
          <w:vertAlign w:val="superscript"/>
          <w:lang w:val="en-GB"/>
        </w:rPr>
        <w:t>1</w:t>
      </w:r>
      <w:r w:rsidR="0011439F">
        <w:rPr>
          <w:lang w:val="en-GB"/>
        </w:rPr>
        <w:t xml:space="preserve">H or </w:t>
      </w:r>
      <w:r w:rsidR="0011439F" w:rsidRPr="008B5D06">
        <w:rPr>
          <w:vertAlign w:val="superscript"/>
          <w:lang w:val="en-GB"/>
        </w:rPr>
        <w:t>13</w:t>
      </w:r>
      <w:r w:rsidR="0011439F">
        <w:rPr>
          <w:lang w:val="en-GB"/>
        </w:rPr>
        <w:t xml:space="preserve">C NMR spectroscopy, </w:t>
      </w:r>
      <w:r w:rsidR="00CB4308">
        <w:rPr>
          <w:lang w:val="en-GB"/>
        </w:rPr>
        <w:t xml:space="preserve">it </w:t>
      </w:r>
      <w:r>
        <w:rPr>
          <w:lang w:val="en-GB"/>
        </w:rPr>
        <w:t>must be</w:t>
      </w:r>
      <w:r w:rsidR="00CB4308">
        <w:rPr>
          <w:lang w:val="en-GB"/>
        </w:rPr>
        <w:t xml:space="preserve"> assume</w:t>
      </w:r>
      <w:r>
        <w:rPr>
          <w:lang w:val="en-GB"/>
        </w:rPr>
        <w:t>d</w:t>
      </w:r>
      <w:r w:rsidR="00CB4308">
        <w:rPr>
          <w:lang w:val="en-GB"/>
        </w:rPr>
        <w:t xml:space="preserve"> </w:t>
      </w:r>
      <w:r w:rsidR="00B2193E" w:rsidRPr="00905DD7">
        <w:rPr>
          <w:lang w:val="en-GB"/>
        </w:rPr>
        <w:t xml:space="preserve">that </w:t>
      </w:r>
      <w:r w:rsidR="00CB4308">
        <w:rPr>
          <w:lang w:val="en-GB"/>
        </w:rPr>
        <w:t xml:space="preserve">dynamic </w:t>
      </w:r>
      <w:r>
        <w:rPr>
          <w:lang w:val="en-GB"/>
        </w:rPr>
        <w:t>exchange of glyme ligands occurs</w:t>
      </w:r>
      <w:r w:rsidR="00B2193E" w:rsidRPr="00905DD7">
        <w:rPr>
          <w:lang w:val="en-GB"/>
        </w:rPr>
        <w:t>.</w:t>
      </w:r>
      <w:r w:rsidR="00F877D8">
        <w:rPr>
          <w:lang w:val="en-GB"/>
        </w:rPr>
        <w:t xml:space="preserve"> </w:t>
      </w:r>
    </w:p>
    <w:p w14:paraId="1271F441" w14:textId="6D64213B" w:rsidR="00CE7C66" w:rsidRPr="00905DD7" w:rsidRDefault="00230950" w:rsidP="008B5D06">
      <w:pPr>
        <w:pStyle w:val="RSCB06BHeadingSub-Section"/>
      </w:pPr>
      <w:r>
        <w:t>Thermogravimetric analysis</w:t>
      </w:r>
    </w:p>
    <w:p w14:paraId="48923966" w14:textId="699FBE19" w:rsidR="00B2193E" w:rsidRPr="00905DD7" w:rsidRDefault="00230950" w:rsidP="00230950">
      <w:pPr>
        <w:pStyle w:val="RSCB02ArticleText"/>
        <w:rPr>
          <w:lang w:val="en-GB"/>
        </w:rPr>
      </w:pPr>
      <w:r>
        <w:rPr>
          <w:lang w:val="en-GB"/>
        </w:rPr>
        <w:t>T</w:t>
      </w:r>
      <w:r w:rsidR="00B2193E" w:rsidRPr="00905DD7">
        <w:rPr>
          <w:lang w:val="en-GB"/>
        </w:rPr>
        <w:t xml:space="preserve">hermal stability of the solvate ionic liquids was studied by thermogravimetric analysis (TGA). TG curves are available in </w:t>
      </w:r>
      <w:r w:rsidR="004A7009">
        <w:rPr>
          <w:lang w:val="en-GB"/>
        </w:rPr>
        <w:t xml:space="preserve">Figures </w:t>
      </w:r>
      <w:r w:rsidR="00B2193E" w:rsidRPr="00905DD7">
        <w:rPr>
          <w:lang w:val="en-GB"/>
        </w:rPr>
        <w:t>S</w:t>
      </w:r>
      <w:r w:rsidR="00E21961">
        <w:rPr>
          <w:lang w:val="en-GB"/>
        </w:rPr>
        <w:t>1</w:t>
      </w:r>
      <w:r w:rsidR="004A7009">
        <w:rPr>
          <w:lang w:val="en-GB"/>
        </w:rPr>
        <w:t xml:space="preserve"> and</w:t>
      </w:r>
      <w:r w:rsidR="00B2193E" w:rsidRPr="00905DD7">
        <w:rPr>
          <w:lang w:val="en-GB"/>
        </w:rPr>
        <w:t xml:space="preserve"> S</w:t>
      </w:r>
      <w:r w:rsidR="00E21961">
        <w:rPr>
          <w:lang w:val="en-GB"/>
        </w:rPr>
        <w:t>2</w:t>
      </w:r>
      <w:r w:rsidR="004A7009">
        <w:rPr>
          <w:lang w:val="en-GB"/>
        </w:rPr>
        <w:t xml:space="preserve"> </w:t>
      </w:r>
      <w:r w:rsidR="00E21961" w:rsidRPr="00E21961">
        <w:rPr>
          <w:lang w:val="en-GB"/>
        </w:rPr>
        <w:t>in the ESI.†</w:t>
      </w:r>
      <w:r w:rsidR="00B2193E" w:rsidRPr="00905DD7">
        <w:rPr>
          <w:lang w:val="en-GB"/>
        </w:rPr>
        <w:t xml:space="preserve"> In contrast to their thermally stable precursors: glyme (</w:t>
      </w:r>
      <w:r w:rsidR="00B2193E" w:rsidRPr="00905DD7">
        <w:rPr>
          <w:i/>
          <w:iCs/>
          <w:lang w:val="en-GB"/>
        </w:rPr>
        <w:t>T</w:t>
      </w:r>
      <w:r w:rsidR="00B2193E" w:rsidRPr="00905DD7">
        <w:rPr>
          <w:vertAlign w:val="subscript"/>
          <w:lang w:val="en-GB"/>
        </w:rPr>
        <w:t>d</w:t>
      </w:r>
      <w:r w:rsidR="00B2193E" w:rsidRPr="00905DD7">
        <w:rPr>
          <w:lang w:val="en-GB"/>
        </w:rPr>
        <w:t> </w:t>
      </w:r>
      <w:r w:rsidR="00B2193E" w:rsidRPr="008B5D06">
        <w:rPr>
          <w:lang w:val="en-GB"/>
        </w:rPr>
        <w:t>= </w:t>
      </w:r>
      <w:r w:rsidR="00C7066D" w:rsidRPr="008B5D06">
        <w:rPr>
          <w:lang w:val="en-GB"/>
        </w:rPr>
        <w:t>167 </w:t>
      </w:r>
      <w:r w:rsidR="00B2193E" w:rsidRPr="008B5D06">
        <w:rPr>
          <w:lang w:val="en-GB"/>
        </w:rPr>
        <w:t>°C), Al(</w:t>
      </w:r>
      <w:proofErr w:type="spellStart"/>
      <w:r w:rsidR="00B2193E" w:rsidRPr="008B5D06">
        <w:rPr>
          <w:lang w:val="en-GB"/>
        </w:rPr>
        <w:t>OTf</w:t>
      </w:r>
      <w:proofErr w:type="spellEnd"/>
      <w:r w:rsidR="00B2193E" w:rsidRPr="008B5D06">
        <w:rPr>
          <w:lang w:val="en-GB"/>
        </w:rPr>
        <w:t>)</w:t>
      </w:r>
      <w:r w:rsidR="00B2193E" w:rsidRPr="008B5D06">
        <w:rPr>
          <w:vertAlign w:val="subscript"/>
          <w:lang w:val="en-GB"/>
        </w:rPr>
        <w:t>3</w:t>
      </w:r>
      <w:r w:rsidR="00B2193E" w:rsidRPr="008B5D06">
        <w:rPr>
          <w:lang w:val="en-GB"/>
        </w:rPr>
        <w:t xml:space="preserve"> (</w:t>
      </w:r>
      <w:r w:rsidR="00B2193E" w:rsidRPr="008B5D06">
        <w:rPr>
          <w:i/>
          <w:iCs/>
          <w:lang w:val="en-GB"/>
        </w:rPr>
        <w:t>T</w:t>
      </w:r>
      <w:r w:rsidR="00B2193E" w:rsidRPr="008B5D06">
        <w:rPr>
          <w:vertAlign w:val="subscript"/>
          <w:lang w:val="en-GB"/>
        </w:rPr>
        <w:t>d</w:t>
      </w:r>
      <w:r w:rsidR="00B2193E" w:rsidRPr="008B5D06">
        <w:rPr>
          <w:lang w:val="en-GB"/>
        </w:rPr>
        <w:t> = </w:t>
      </w:r>
      <w:r w:rsidR="00C7066D" w:rsidRPr="008B5D06">
        <w:rPr>
          <w:lang w:val="en-GB"/>
        </w:rPr>
        <w:t>221 </w:t>
      </w:r>
      <w:r w:rsidR="00B2193E" w:rsidRPr="008B5D06">
        <w:rPr>
          <w:lang w:val="en-GB"/>
        </w:rPr>
        <w:t>°C) and Ga(</w:t>
      </w:r>
      <w:proofErr w:type="spellStart"/>
      <w:r w:rsidR="00B2193E" w:rsidRPr="008B5D06">
        <w:rPr>
          <w:lang w:val="en-GB"/>
        </w:rPr>
        <w:t>OTf</w:t>
      </w:r>
      <w:proofErr w:type="spellEnd"/>
      <w:r w:rsidR="00B2193E" w:rsidRPr="008B5D06">
        <w:rPr>
          <w:lang w:val="en-GB"/>
        </w:rPr>
        <w:t>)</w:t>
      </w:r>
      <w:r w:rsidR="00B2193E" w:rsidRPr="008B5D06">
        <w:rPr>
          <w:vertAlign w:val="subscript"/>
          <w:lang w:val="en-GB"/>
        </w:rPr>
        <w:t>3</w:t>
      </w:r>
      <w:r w:rsidR="00B2193E" w:rsidRPr="008B5D06">
        <w:rPr>
          <w:lang w:val="en-GB"/>
        </w:rPr>
        <w:t xml:space="preserve"> (</w:t>
      </w:r>
      <w:r w:rsidR="00B2193E" w:rsidRPr="008B5D06">
        <w:rPr>
          <w:i/>
          <w:iCs/>
          <w:lang w:val="en-GB"/>
        </w:rPr>
        <w:t>T</w:t>
      </w:r>
      <w:r w:rsidR="00B2193E" w:rsidRPr="008B5D06">
        <w:rPr>
          <w:vertAlign w:val="subscript"/>
          <w:lang w:val="en-GB"/>
        </w:rPr>
        <w:t>d</w:t>
      </w:r>
      <w:r w:rsidR="00B2193E" w:rsidRPr="008B5D06">
        <w:rPr>
          <w:lang w:val="en-GB"/>
        </w:rPr>
        <w:t> = </w:t>
      </w:r>
      <w:r w:rsidR="00C7066D" w:rsidRPr="008B5D06">
        <w:rPr>
          <w:lang w:val="en-GB"/>
        </w:rPr>
        <w:t>182 </w:t>
      </w:r>
      <w:r w:rsidR="00B2193E" w:rsidRPr="008B5D06">
        <w:rPr>
          <w:lang w:val="en-GB"/>
        </w:rPr>
        <w:t>°</w:t>
      </w:r>
      <w:r w:rsidR="00B2193E" w:rsidRPr="00905DD7">
        <w:rPr>
          <w:lang w:val="en-GB"/>
        </w:rPr>
        <w:t xml:space="preserve">C) thermal stability of the investigated systems was much lower with </w:t>
      </w:r>
      <w:r w:rsidR="00B2193E" w:rsidRPr="00905DD7">
        <w:rPr>
          <w:i/>
          <w:iCs/>
          <w:lang w:val="en-GB"/>
        </w:rPr>
        <w:t>T</w:t>
      </w:r>
      <w:r w:rsidR="00B2193E" w:rsidRPr="00905DD7">
        <w:rPr>
          <w:vertAlign w:val="subscript"/>
          <w:lang w:val="en-GB"/>
        </w:rPr>
        <w:t>d5%</w:t>
      </w:r>
      <w:r w:rsidR="00B2193E" w:rsidRPr="00905DD7">
        <w:rPr>
          <w:lang w:val="en-GB"/>
        </w:rPr>
        <w:t xml:space="preserve"> = 127 °C for Al-SILs and </w:t>
      </w:r>
      <w:r w:rsidR="00B2193E" w:rsidRPr="00905DD7">
        <w:rPr>
          <w:i/>
          <w:iCs/>
          <w:lang w:val="en-GB"/>
        </w:rPr>
        <w:t>T</w:t>
      </w:r>
      <w:r w:rsidR="00B2193E" w:rsidRPr="00905DD7">
        <w:rPr>
          <w:vertAlign w:val="subscript"/>
          <w:lang w:val="en-GB"/>
        </w:rPr>
        <w:t>d5%</w:t>
      </w:r>
      <w:r w:rsidR="00E21961">
        <w:rPr>
          <w:lang w:val="en-GB"/>
        </w:rPr>
        <w:t> </w:t>
      </w:r>
      <w:r w:rsidR="00B2193E" w:rsidRPr="00905DD7">
        <w:rPr>
          <w:lang w:val="en-GB"/>
        </w:rPr>
        <w:t>=</w:t>
      </w:r>
      <w:r w:rsidR="00E21961">
        <w:rPr>
          <w:lang w:val="en-GB"/>
        </w:rPr>
        <w:t> </w:t>
      </w:r>
      <w:r w:rsidR="00C7066D" w:rsidRPr="00905DD7">
        <w:rPr>
          <w:lang w:val="en-GB"/>
        </w:rPr>
        <w:t>105 </w:t>
      </w:r>
      <w:r w:rsidR="00B2193E" w:rsidRPr="00905DD7">
        <w:rPr>
          <w:lang w:val="en-GB"/>
        </w:rPr>
        <w:t>°C Ga</w:t>
      </w:r>
      <w:r w:rsidR="00B2193E" w:rsidRPr="00905DD7">
        <w:rPr>
          <w:lang w:val="en-GB"/>
        </w:rPr>
        <w:noBreakHyphen/>
        <w:t xml:space="preserve">SILs, respectively. This </w:t>
      </w:r>
      <w:r w:rsidR="004A7009">
        <w:rPr>
          <w:lang w:val="en-GB"/>
        </w:rPr>
        <w:t xml:space="preserve">unfortunately </w:t>
      </w:r>
      <w:r w:rsidR="00B2193E" w:rsidRPr="00905DD7">
        <w:rPr>
          <w:lang w:val="en-GB"/>
        </w:rPr>
        <w:t xml:space="preserve">limits the span of operative conditions for these </w:t>
      </w:r>
      <w:proofErr w:type="spellStart"/>
      <w:r w:rsidR="00B2193E" w:rsidRPr="00905DD7">
        <w:rPr>
          <w:lang w:val="en-GB"/>
        </w:rPr>
        <w:t>glymes</w:t>
      </w:r>
      <w:proofErr w:type="spellEnd"/>
      <w:r w:rsidR="00B2193E" w:rsidRPr="00905DD7">
        <w:rPr>
          <w:lang w:val="en-GB"/>
        </w:rPr>
        <w:t>, but also suggests that the metal centre is highly Lewis acidic, effectively catalysing decomposition of the glyme at much lower temperature.</w:t>
      </w:r>
    </w:p>
    <w:p w14:paraId="0E28927F" w14:textId="289F3D82" w:rsidR="00B2193E" w:rsidRPr="00905DD7" w:rsidRDefault="00E91D42" w:rsidP="000232AB">
      <w:pPr>
        <w:pStyle w:val="RSCB06BHeadingSub-Section"/>
      </w:pPr>
      <w:r w:rsidRPr="003D0279">
        <w:t>Catalytic performance in</w:t>
      </w:r>
      <w:r w:rsidR="000232AB" w:rsidRPr="003D0279">
        <w:t xml:space="preserve"> [3+3] cycloaddition reaction</w:t>
      </w:r>
    </w:p>
    <w:p w14:paraId="74042EB1" w14:textId="2E9514E0" w:rsidR="00E16CD2" w:rsidRPr="00905DD7" w:rsidRDefault="00353560" w:rsidP="002A1D82">
      <w:pPr>
        <w:pStyle w:val="RSCB02ArticleText"/>
        <w:rPr>
          <w:lang w:val="en-GB"/>
        </w:rPr>
      </w:pPr>
      <w:r>
        <w:rPr>
          <w:lang w:val="en-GB"/>
        </w:rPr>
        <w:t>A</w:t>
      </w:r>
      <w:r w:rsidR="00191FD2" w:rsidRPr="00905DD7">
        <w:rPr>
          <w:lang w:val="en-GB"/>
        </w:rPr>
        <w:t xml:space="preserve"> </w:t>
      </w:r>
      <w:r w:rsidR="00B2193E" w:rsidRPr="00905DD7">
        <w:rPr>
          <w:lang w:val="en-GB"/>
        </w:rPr>
        <w:t>[3+3] cycloaddition</w:t>
      </w:r>
      <w:r>
        <w:rPr>
          <w:lang w:val="en-GB"/>
        </w:rPr>
        <w:t xml:space="preserve"> was selected as a test reaction for catalytic activity of the new SILs</w:t>
      </w:r>
      <w:r w:rsidR="00E61653">
        <w:rPr>
          <w:lang w:val="en-GB"/>
        </w:rPr>
        <w:t>.</w:t>
      </w:r>
      <w:r>
        <w:rPr>
          <w:lang w:val="en-GB"/>
        </w:rPr>
        <w:t xml:space="preserve"> </w:t>
      </w:r>
      <w:r w:rsidR="00B2193E" w:rsidRPr="00905DD7">
        <w:rPr>
          <w:lang w:val="en-GB"/>
        </w:rPr>
        <w:t xml:space="preserve">The yield and selectivity of products </w:t>
      </w:r>
      <w:r w:rsidR="00E61653">
        <w:rPr>
          <w:lang w:val="en-GB"/>
        </w:rPr>
        <w:t xml:space="preserve">in this reaction </w:t>
      </w:r>
      <w:r w:rsidR="00B2193E" w:rsidRPr="00905DD7">
        <w:rPr>
          <w:lang w:val="en-GB"/>
        </w:rPr>
        <w:t>depend</w:t>
      </w:r>
      <w:r w:rsidR="00E61653">
        <w:rPr>
          <w:lang w:val="en-GB"/>
        </w:rPr>
        <w:t xml:space="preserve"> strongly</w:t>
      </w:r>
      <w:r w:rsidR="00B2193E" w:rsidRPr="00905DD7">
        <w:rPr>
          <w:lang w:val="en-GB"/>
        </w:rPr>
        <w:t xml:space="preserve"> both on the activity of the Lewis acidic catalyst and</w:t>
      </w:r>
      <w:r w:rsidR="00E61653">
        <w:rPr>
          <w:lang w:val="en-GB"/>
        </w:rPr>
        <w:t xml:space="preserve"> on</w:t>
      </w:r>
      <w:r w:rsidR="00B2193E" w:rsidRPr="00905DD7">
        <w:rPr>
          <w:lang w:val="en-GB"/>
        </w:rPr>
        <w:t xml:space="preserve"> the reaction conditions</w:t>
      </w:r>
      <w:r w:rsidR="00E61653">
        <w:rPr>
          <w:lang w:val="en-GB"/>
        </w:rPr>
        <w:t>, which makes it sensitive to subtle changes and therefore a good model to distinguish between catalysts</w:t>
      </w:r>
      <w:r w:rsidR="00B2193E" w:rsidRPr="00905DD7">
        <w:rPr>
          <w:lang w:val="en-GB"/>
        </w:rPr>
        <w:t>.</w:t>
      </w:r>
      <w:r w:rsidR="00B2193E" w:rsidRPr="00905DD7">
        <w:rPr>
          <w:lang w:val="en-GB"/>
        </w:rPr>
        <w:fldChar w:fldCharType="begin" w:fldLock="1"/>
      </w:r>
      <w:r w:rsidR="0026470D">
        <w:rPr>
          <w:lang w:val="en-GB"/>
        </w:rPr>
        <w:instrText>ADDIN CSL_CITATION {"citationItems":[{"id":"ITEM-1","itemData":{"DOI":"10.1016/C2017-0-03259-7","ISBN":"9780128152737","abstract":"Modern Applications of Cycloaddition Chemistry examines this area of organic chemistry, with special attention paid to cycloadditions in synthetic and mechanistic applications in modern organic chemistry. While many books dedicated to cycloaddition reactions deal with the synthesis of heterocycles, general applications, specific applications in natural product synthesis, and the use of a class of organic compounds, this work sheds new light on pericyclic reactions by demonstrating how these valuable tools elegantly solve synthetic and mechanistic problems. The work examines how pericyclic reactions have been extensively applied to different chemistry areas, such as chemical biology, biological processes, catalyzed cycloaddition reactions, and more. This work will be useful for organic chemists who deal with organic chemistry, medicinal chemistry, agrochemistry and material chemistry.","author":[{"dropping-particle":"","family":"Quadrelli","given":"Paolo","non-dropping-particle":"","parse-names":false,"suffix":""}],"container-title":"Modern Applications of Cycloaddition Chemistry","id":"ITEM-1","issued":{"date-parts":[["2019","1","1"]]},"number-of-pages":"1-340","publisher":"Elsevier","title":"Modern applications of cycloaddition chemistry","type":"book"},"uris":["http://www.mendeley.com/documents/?uuid=fdde8ede-5fd7-3b10-bf01-f8b868fabcf1"]},{"id":"ITEM-2","itemData":{"DOI":"10.1002/9781118778173.ch12","ISBN":"9781118778173","abstract":"Cycloaddition reactions are among the most powerful methods in organic synthesis. An attractive feature is their ability to afford multiple bond simultaneous formations with regio- and stereochemical control. This chapter highlights efforts that are essential in rendering [3+3] cycloaddition synthetically useful, and focuses primarily on total syntheses of interesting natural products. Two types of hetero-[3+3] cycloadditions are studied namely, oxa- [3+3] and aza-[3+3], which produce 1-oxadecalin and 1- azadecalin, respectively. The [3+3] cycloaddition represents a powerful strategy in organic synthesis that can be both flexible in accessing structural and stereochemical diversity and competitive in overall efficiency.","author":[{"dropping-particle":"","family":"Deng","given":"Jun","non-dropping-particle":"","parse-names":false,"suffix":""},{"dropping-particle":"","family":"Wang","given":"Xiao Na","non-dropping-particle":"","parse-names":false,"suffix":""},{"dropping-particle":"","family":"Hsung","given":"Richard P.","non-dropping-particle":"","parse-names":false,"suffix":""}],"container-title":"Wiley Blackwell 6","id":"ITEM-2","issued":{"date-parts":[["2014","2","10"]]},"page":"283-354","publisher":"Wiley Blackwell","title":"A Formal [3+3] Cycloaddition Approach To Natural Product Synthesis","type":"chapter","volume":"9781118299"},"uris":["http://www.mendeley.com/documents/?uuid=4992aba2-da4f-3a43-bfc3-f0f381ecae01"]}],"mendeley":{"formattedCitation":"&lt;sup&gt;62,63&lt;/sup&gt;","plainTextFormattedCitation":"62,63","previouslyFormattedCitation":"&lt;sup&gt;62,63&lt;/sup&gt;"},"properties":{"noteIndex":0},"schema":"https://github.com/citation-style-language/schema/raw/master/csl-citation.json"}</w:instrText>
      </w:r>
      <w:r w:rsidR="00B2193E" w:rsidRPr="00905DD7">
        <w:rPr>
          <w:lang w:val="en-GB"/>
        </w:rPr>
        <w:fldChar w:fldCharType="separate"/>
      </w:r>
      <w:r w:rsidR="0026470D" w:rsidRPr="0026470D">
        <w:rPr>
          <w:noProof/>
          <w:vertAlign w:val="superscript"/>
          <w:lang w:val="en-GB"/>
        </w:rPr>
        <w:t>62,63</w:t>
      </w:r>
      <w:r w:rsidR="00B2193E" w:rsidRPr="00905DD7">
        <w:rPr>
          <w:lang w:val="en-GB"/>
        </w:rPr>
        <w:fldChar w:fldCharType="end"/>
      </w:r>
    </w:p>
    <w:p w14:paraId="6E34AA94" w14:textId="2D85B27F" w:rsidR="00E513B5" w:rsidRPr="00905DD7" w:rsidRDefault="00E513B5" w:rsidP="00300513">
      <w:pPr>
        <w:pStyle w:val="RSCB02ArticleText"/>
        <w:ind w:firstLine="284"/>
        <w:rPr>
          <w:lang w:val="en-GB"/>
        </w:rPr>
      </w:pPr>
      <w:r w:rsidRPr="00905DD7">
        <w:rPr>
          <w:lang w:val="en-GB"/>
        </w:rPr>
        <w:t xml:space="preserve">The synthesis of chromane from 2,4-dimethylphenol and isoprene </w:t>
      </w:r>
      <w:r w:rsidR="00E61653" w:rsidRPr="00905DD7">
        <w:rPr>
          <w:lang w:val="en-GB"/>
        </w:rPr>
        <w:t>(Scheme 1)</w:t>
      </w:r>
      <w:r w:rsidR="00E61653">
        <w:rPr>
          <w:lang w:val="en-GB"/>
        </w:rPr>
        <w:t xml:space="preserve"> </w:t>
      </w:r>
      <w:r w:rsidRPr="00905DD7">
        <w:rPr>
          <w:lang w:val="en-GB"/>
        </w:rPr>
        <w:t xml:space="preserve">was chosen as </w:t>
      </w:r>
      <w:r w:rsidR="00E61653">
        <w:rPr>
          <w:lang w:val="en-GB"/>
        </w:rPr>
        <w:t xml:space="preserve">a </w:t>
      </w:r>
      <w:r w:rsidRPr="00905DD7">
        <w:rPr>
          <w:lang w:val="en-GB"/>
        </w:rPr>
        <w:t>model [3+3] cycloaddition. Chromane is a part of</w:t>
      </w:r>
      <w:r w:rsidR="00E61653">
        <w:rPr>
          <w:lang w:val="en-GB"/>
        </w:rPr>
        <w:t xml:space="preserve"> a</w:t>
      </w:r>
      <w:r w:rsidRPr="00905DD7">
        <w:rPr>
          <w:lang w:val="en-GB"/>
        </w:rPr>
        <w:t xml:space="preserve"> structure of more complicated compounds, including various forms of vitamin E and flavonoids</w:t>
      </w:r>
      <w:r w:rsidR="00E61653">
        <w:rPr>
          <w:lang w:val="en-GB"/>
        </w:rPr>
        <w:t>,</w:t>
      </w:r>
      <w:r w:rsidRPr="00905DD7">
        <w:rPr>
          <w:lang w:val="en-GB"/>
        </w:rPr>
        <w:fldChar w:fldCharType="begin" w:fldLock="1"/>
      </w:r>
      <w:r w:rsidR="0026470D">
        <w:rPr>
          <w:lang w:val="en-GB"/>
        </w:rPr>
        <w:instrText>ADDIN CSL_CITATION {"citationItems":[{"id":"ITEM-1","itemData":{"DOI":"10.1002/MNFR.200400049","ISSN":"1613-4133","PMID":"15580660","abstract":"Our understanding of the role of vitamin E in human nutrition, health, and disease has broadened and changed over the past two decades. Viewed initially as nature's most potent lipid-soluble antioxidant (and discovered for its crucial role in mammalian reproduction) we have now come to realize that vitamin E action has many more facets, depending on the physiological context. Although mainly acting as an antioxidant, vitamin E can also be a pro-oxidant; it can even have nonantioxidant functions: as a signaling molecule, as a regulator of gene expression, and, possibly, in the prevention of cancer and atherosclerosis. Since the term vitamin E encompasses a group of eight structurally related tocopherols and tocotrienols, individual isomers have different propensities with respect to these novel, nontraditional roles. The particular beneficial effects of the individual isomers have to be considered when dissecting the physiological impact of dietary vitamin E or supplements (mainly containing only the α-tocopherol isomer) in clinical trials. These considerations are also relevant for the design of transgenic crop plants with the goal of enhancing vitamin E content because an engineered biosynthetic pathway may be biased toward formation of one isomer. In contrast to the tremendous recent advances in knowledge of vitamin E chemistry and biology, there is little hard evidence from clinical and epidemiologic studies on the beneficial effects of supplementation with vitamin E beyond the essential requirement.","author":[{"dropping-particle":"","family":"Schneider","given":"Claus","non-dropping-particle":"","parse-names":false,"suffix":""}],"container-title":"Molecular Nutrition &amp; Food Research","id":"ITEM-1","issue":"1","issued":{"date-parts":[["2005","1","1"]]},"page":"7-30","publisher":"John Wiley &amp; Sons, Ltd","title":"Chemistry and biology of vitamin E","type":"article-journal","volume":"49"},"uris":["http://www.mendeley.com/documents/?uuid=6ed62a3e-fdbf-3401-aab4-ee20949ae6b4"]}],"mendeley":{"formattedCitation":"&lt;sup&gt;64&lt;/sup&gt;","plainTextFormattedCitation":"64","previouslyFormattedCitation":"&lt;sup&gt;64&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64</w:t>
      </w:r>
      <w:r w:rsidRPr="00905DD7">
        <w:rPr>
          <w:lang w:val="en-GB"/>
        </w:rPr>
        <w:fldChar w:fldCharType="end"/>
      </w:r>
      <w:r w:rsidR="00E61653">
        <w:rPr>
          <w:lang w:val="en-GB"/>
        </w:rPr>
        <w:t xml:space="preserve"> which makes it a common synthetic target.</w:t>
      </w:r>
      <w:r w:rsidRPr="00905DD7">
        <w:rPr>
          <w:vertAlign w:val="superscript"/>
          <w:lang w:val="en-GB"/>
        </w:rPr>
        <w:t xml:space="preserve"> </w:t>
      </w:r>
      <w:r w:rsidRPr="00905DD7">
        <w:rPr>
          <w:lang w:val="en-GB"/>
        </w:rPr>
        <w:t>The reaction is typically catalysed by metal triflates, promoting high selectivity towards chromane</w:t>
      </w:r>
      <w:r w:rsidR="00E61653">
        <w:rPr>
          <w:lang w:val="en-GB"/>
        </w:rPr>
        <w:t xml:space="preserve"> (main product, Scheme 1)</w:t>
      </w:r>
      <w:r w:rsidRPr="00905DD7">
        <w:rPr>
          <w:lang w:val="en-GB"/>
        </w:rPr>
        <w:t>.</w:t>
      </w:r>
      <w:r w:rsidRPr="00905DD7">
        <w:rPr>
          <w:lang w:val="en-GB"/>
        </w:rPr>
        <w:fldChar w:fldCharType="begin" w:fldLock="1"/>
      </w:r>
      <w:r w:rsidR="0026470D">
        <w:rPr>
          <w:lang w:val="en-GB"/>
        </w:rPr>
        <w:instrText>ADDIN CSL_CITATION {"citationItems":[{"id":"ITEM-1","itemData":{"DOI":"10.1021/jo061221b","ISSN":"00223263","PMID":"16901178","abstract":"Mild, efficient, and economical Ag(I)-catalyzed sequential C-C/C-O bond formations between phenols and dienes were developed to afford in good yields a variety of dihydrobenzopyran and dihydrobenzofuran ring systems, which are important motifs in both naturally occurring and biologically active compounds. © 2006 American Chemical Society.","author":[{"dropping-particle":"","family":"Youn","given":"So Won","non-dropping-particle":"","parse-names":false,"suffix":""},{"dropping-particle":"","family":"Eom","given":"Jeong Im","non-dropping-particle":"","parse-names":false,"suffix":""}],"container-title":"Journal of Organic Chemistry","id":"ITEM-1","issue":"17","issued":{"date-parts":[["2006","8","18"]]},"page":"6705-6707","publisher":" American Chemical Society ","title":"Ag(I)-catalyzed sequential C-C and C-O bond formations between phenols and dienes with atom economy","type":"article-journal","volume":"71"},"uris":["http://www.mendeley.com/documents/?uuid=9fbac526-b16a-4b27-a142-1db69f031de0"]}],"mendeley":{"formattedCitation":"&lt;sup&gt;65&lt;/sup&gt;","plainTextFormattedCitation":"65","previouslyFormattedCitation":"&lt;sup&gt;65&lt;/sup&gt;"},"properties":{"noteIndex":0},"schema":"https://github.com/citation-style-language/schema/raw/master/csl-citation.json"}</w:instrText>
      </w:r>
      <w:r w:rsidRPr="00905DD7">
        <w:rPr>
          <w:lang w:val="en-GB"/>
        </w:rPr>
        <w:fldChar w:fldCharType="separate"/>
      </w:r>
      <w:r w:rsidR="0026470D" w:rsidRPr="0026470D">
        <w:rPr>
          <w:noProof/>
          <w:vertAlign w:val="superscript"/>
          <w:lang w:val="en-GB"/>
        </w:rPr>
        <w:t>65</w:t>
      </w:r>
      <w:r w:rsidRPr="00905DD7">
        <w:rPr>
          <w:lang w:val="en-GB"/>
        </w:rPr>
        <w:fldChar w:fldCharType="end"/>
      </w:r>
    </w:p>
    <w:p w14:paraId="7580DF2E" w14:textId="77777777" w:rsidR="00E513B5" w:rsidRPr="00905DD7" w:rsidRDefault="00E513B5" w:rsidP="00300513">
      <w:pPr>
        <w:pStyle w:val="RSCI02FigureSchemeChartwithtopbar"/>
      </w:pPr>
      <w:r w:rsidRPr="00905DD7">
        <w:rPr>
          <w:noProof/>
        </w:rPr>
        <w:drawing>
          <wp:inline distT="0" distB="0" distL="0" distR="0" wp14:anchorId="4EFE277A" wp14:editId="76EE93C7">
            <wp:extent cx="2988000" cy="810070"/>
            <wp:effectExtent l="0" t="0" r="3175" b="9525"/>
            <wp:docPr id="1562773414" name="Obraz 3" descr="Obraz zawierający diagram, szkic, lini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73414" name="Obraz 3" descr="Obraz zawierający diagram, szkic, linia, biały&#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88000" cy="810070"/>
                    </a:xfrm>
                    <a:prstGeom prst="rect">
                      <a:avLst/>
                    </a:prstGeom>
                  </pic:spPr>
                </pic:pic>
              </a:graphicData>
            </a:graphic>
          </wp:inline>
        </w:drawing>
      </w:r>
    </w:p>
    <w:p w14:paraId="6BFEEBCF" w14:textId="5008F64F" w:rsidR="00E513B5" w:rsidRPr="00905DD7" w:rsidRDefault="00E513B5" w:rsidP="00E513B5">
      <w:pPr>
        <w:pStyle w:val="RSCI05CaptiontoFigureSchemeChartwithbottombar"/>
      </w:pPr>
      <w:r w:rsidRPr="00905DD7">
        <w:rPr>
          <w:b/>
        </w:rPr>
        <w:t xml:space="preserve">Scheme </w:t>
      </w:r>
      <w:r w:rsidR="00554CBE" w:rsidRPr="00905DD7">
        <w:rPr>
          <w:b/>
        </w:rPr>
        <w:t>1</w:t>
      </w:r>
      <w:r w:rsidRPr="00905DD7">
        <w:rPr>
          <w:b/>
        </w:rPr>
        <w:t>.</w:t>
      </w:r>
      <w:r w:rsidRPr="00905DD7">
        <w:t xml:space="preserve"> Reaction between 2,4-dimethylphenol and isoprene.</w:t>
      </w:r>
    </w:p>
    <w:p w14:paraId="2DA94708" w14:textId="0356E605" w:rsidR="00E513B5" w:rsidRPr="00905DD7" w:rsidRDefault="00E61653" w:rsidP="00C6265D">
      <w:pPr>
        <w:pStyle w:val="RSCB02ArticleText"/>
        <w:ind w:firstLine="284"/>
        <w:rPr>
          <w:lang w:val="en-GB"/>
        </w:rPr>
      </w:pPr>
      <w:r>
        <w:rPr>
          <w:lang w:val="en-GB"/>
        </w:rPr>
        <w:t>All</w:t>
      </w:r>
      <w:r w:rsidRPr="00905DD7">
        <w:rPr>
          <w:lang w:val="en-GB"/>
        </w:rPr>
        <w:t xml:space="preserve"> </w:t>
      </w:r>
      <w:r w:rsidR="00E513B5" w:rsidRPr="00905DD7">
        <w:rPr>
          <w:lang w:val="en-GB"/>
        </w:rPr>
        <w:t>reaction</w:t>
      </w:r>
      <w:r>
        <w:rPr>
          <w:lang w:val="en-GB"/>
        </w:rPr>
        <w:t>s</w:t>
      </w:r>
      <w:r w:rsidR="00E513B5" w:rsidRPr="00905DD7">
        <w:rPr>
          <w:lang w:val="en-GB"/>
        </w:rPr>
        <w:t xml:space="preserve"> </w:t>
      </w:r>
      <w:r>
        <w:rPr>
          <w:lang w:val="en-GB"/>
        </w:rPr>
        <w:t>were</w:t>
      </w:r>
      <w:r w:rsidRPr="00905DD7">
        <w:rPr>
          <w:lang w:val="en-GB"/>
        </w:rPr>
        <w:t xml:space="preserve"> </w:t>
      </w:r>
      <w:r w:rsidR="00E513B5" w:rsidRPr="00905DD7">
        <w:rPr>
          <w:lang w:val="en-GB"/>
        </w:rPr>
        <w:t xml:space="preserve">carried out solventless, at 35 °C, using liquid reactants (1:2 molar ratio of isoprene:2,4-dimethylphenol). Conversion of 2,4-dimethylphenol was monitored using GC, and each reaction was carried out until plateau of conversion has been reached. All SILs formed homogenous solutions when added to the reaction mixture, whereas their corresponding solid metal triflates, studied as comparators, were suspended in the reaction mixture. </w:t>
      </w:r>
    </w:p>
    <w:p w14:paraId="2C367125" w14:textId="40EECE32" w:rsidR="00E513B5" w:rsidRPr="00905DD7" w:rsidRDefault="00E513B5" w:rsidP="00C6265D">
      <w:pPr>
        <w:pStyle w:val="RSCB02ArticleText"/>
        <w:ind w:firstLine="284"/>
      </w:pPr>
      <w:r w:rsidRPr="00905DD7">
        <w:rPr>
          <w:lang w:val="en-GB"/>
        </w:rPr>
        <w:t>Catalytic performance of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at 2 mol% loading of aluminium with respect to isoprene, was compared to Al-SIL (</w:t>
      </w:r>
      <w:r w:rsidRPr="00905DD7">
        <w:rPr>
          <w:i/>
          <w:iCs/>
          <w:lang w:val="en-GB"/>
        </w:rPr>
        <w:t>χ</w:t>
      </w:r>
      <w:r w:rsidRPr="00905DD7">
        <w:rPr>
          <w:vertAlign w:val="subscript"/>
          <w:lang w:val="en-GB"/>
        </w:rPr>
        <w:t>Al(</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0.33), at 1, 2 and 5 mol% (Figure </w:t>
      </w:r>
      <w:r w:rsidR="00317B1E">
        <w:rPr>
          <w:lang w:val="en-GB"/>
        </w:rPr>
        <w:t>10</w:t>
      </w:r>
      <w:r w:rsidRPr="00905DD7">
        <w:rPr>
          <w:lang w:val="en-GB"/>
        </w:rPr>
        <w:t xml:space="preserve">). </w:t>
      </w:r>
      <w:r w:rsidR="00315192" w:rsidRPr="00905DD7">
        <w:rPr>
          <w:lang w:val="en-GB"/>
        </w:rPr>
        <w:t>While</w:t>
      </w:r>
      <w:r w:rsidRPr="00905DD7">
        <w:rPr>
          <w:lang w:val="en-GB"/>
        </w:rPr>
        <w:t xml:space="preserve"> conversion for 2 mol% of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reached plateau at </w:t>
      </w:r>
      <w:r w:rsidRPr="00905DD7">
        <w:rPr>
          <w:i/>
          <w:iCs/>
          <w:lang w:val="en-GB"/>
        </w:rPr>
        <w:t>ca</w:t>
      </w:r>
      <w:r w:rsidRPr="00905DD7">
        <w:rPr>
          <w:lang w:val="en-GB"/>
        </w:rPr>
        <w:t>. 70%, the same loading of Al-SIL (</w:t>
      </w:r>
      <w:r w:rsidRPr="00905DD7">
        <w:rPr>
          <w:i/>
          <w:iCs/>
          <w:lang w:val="en-GB"/>
        </w:rPr>
        <w:t>χ</w:t>
      </w:r>
      <w:r w:rsidRPr="00905DD7">
        <w:rPr>
          <w:vertAlign w:val="subscript"/>
          <w:lang w:val="en-GB"/>
        </w:rPr>
        <w:t>Al(</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0.33) gave </w:t>
      </w:r>
      <w:r w:rsidRPr="00905DD7">
        <w:rPr>
          <w:i/>
          <w:iCs/>
          <w:lang w:val="en-GB"/>
        </w:rPr>
        <w:t>ca</w:t>
      </w:r>
      <w:r w:rsidRPr="00905DD7">
        <w:rPr>
          <w:lang w:val="en-GB"/>
        </w:rPr>
        <w:t xml:space="preserve">. 99% conversion after 240 min, with the same selectivity to chromane of </w:t>
      </w:r>
      <w:r w:rsidRPr="00905DD7">
        <w:rPr>
          <w:i/>
          <w:iCs/>
          <w:lang w:val="en-GB"/>
        </w:rPr>
        <w:t>ca</w:t>
      </w:r>
      <w:r w:rsidRPr="00905DD7">
        <w:rPr>
          <w:lang w:val="en-GB"/>
        </w:rPr>
        <w:t>. 80%. Increasing the Al-SIL loading to 5 mol% resulted in improved reaction kinetics and selectivity; it gave full substrate conversion within 120 min</w:t>
      </w:r>
      <w:r w:rsidRPr="00C6265D">
        <w:rPr>
          <w:lang w:val="en-GB"/>
        </w:rPr>
        <w:t xml:space="preserve">, with selectivity reaching maximum of 90.7% after </w:t>
      </w:r>
      <w:r w:rsidR="00360DE3" w:rsidRPr="00C6265D">
        <w:rPr>
          <w:lang w:val="en-GB"/>
        </w:rPr>
        <w:t>180</w:t>
      </w:r>
      <w:r w:rsidRPr="00C6265D">
        <w:rPr>
          <w:lang w:val="en-GB"/>
        </w:rPr>
        <w:t xml:space="preserve"> min. Decreasing the Al-SIL loading to 1 mol% </w:t>
      </w:r>
      <w:r w:rsidRPr="00C6265D">
        <w:rPr>
          <w:lang w:val="en-GB"/>
        </w:rPr>
        <w:lastRenderedPageBreak/>
        <w:t xml:space="preserve">had the opposite effect, with performance lower than the benchmark catalyst, </w:t>
      </w:r>
      <w:r w:rsidRPr="00C6265D">
        <w:rPr>
          <w:i/>
          <w:iCs/>
          <w:lang w:val="en-GB"/>
        </w:rPr>
        <w:t>i.e</w:t>
      </w:r>
      <w:r w:rsidRPr="00C6265D">
        <w:rPr>
          <w:lang w:val="en-GB"/>
        </w:rPr>
        <w:t>. 2 mol%</w:t>
      </w:r>
      <w:r w:rsidRPr="00905DD7">
        <w:rPr>
          <w:lang w:val="en-GB"/>
        </w:rPr>
        <w:t xml:space="preserve"> of Al(</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w:t>
      </w:r>
    </w:p>
    <w:p w14:paraId="3F9F5B21" w14:textId="77777777" w:rsidR="00E513B5" w:rsidRPr="00905DD7" w:rsidRDefault="00E513B5" w:rsidP="00C6265D">
      <w:pPr>
        <w:pStyle w:val="RSCI02FigureSchemeChartwithtopbar"/>
        <w:jc w:val="center"/>
      </w:pPr>
      <w:r w:rsidRPr="00905DD7">
        <w:rPr>
          <w:noProof/>
        </w:rPr>
        <w:drawing>
          <wp:inline distT="0" distB="0" distL="0" distR="0" wp14:anchorId="3BCDE85A" wp14:editId="72F688E4">
            <wp:extent cx="2988000" cy="2533822"/>
            <wp:effectExtent l="0" t="0" r="3175" b="0"/>
            <wp:docPr id="1197275698" name="Obraz 6" descr="Obraz zawierający tekst, linia, zrzut ekranu,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75698" name="Obraz 6" descr="Obraz zawierający tekst, linia, zrzut ekranu, diagram&#10;&#10;Opis wygenerowany automatycznie"/>
                    <pic:cNvPicPr/>
                  </pic:nvPicPr>
                  <pic:blipFill rotWithShape="1">
                    <a:blip r:embed="rId24" cstate="print">
                      <a:extLst>
                        <a:ext uri="{28A0092B-C50C-407E-A947-70E740481C1C}">
                          <a14:useLocalDpi xmlns:a14="http://schemas.microsoft.com/office/drawing/2010/main" val="0"/>
                        </a:ext>
                      </a:extLst>
                    </a:blip>
                    <a:srcRect l="1974" t="430" r="1658" b="197"/>
                    <a:stretch/>
                  </pic:blipFill>
                  <pic:spPr bwMode="auto">
                    <a:xfrm>
                      <a:off x="0" y="0"/>
                      <a:ext cx="2988000" cy="2533822"/>
                    </a:xfrm>
                    <a:prstGeom prst="rect">
                      <a:avLst/>
                    </a:prstGeom>
                    <a:ln>
                      <a:noFill/>
                    </a:ln>
                    <a:extLst>
                      <a:ext uri="{53640926-AAD7-44D8-BBD7-CCE9431645EC}">
                        <a14:shadowObscured xmlns:a14="http://schemas.microsoft.com/office/drawing/2010/main"/>
                      </a:ext>
                    </a:extLst>
                  </pic:spPr>
                </pic:pic>
              </a:graphicData>
            </a:graphic>
          </wp:inline>
        </w:drawing>
      </w:r>
    </w:p>
    <w:p w14:paraId="5F77CDCA" w14:textId="5B72593A" w:rsidR="00E513B5" w:rsidRPr="00905DD7" w:rsidRDefault="00E513B5" w:rsidP="00C6265D">
      <w:pPr>
        <w:pStyle w:val="RSCI05CaptiontoFigureSchemeChartwithbottombar"/>
      </w:pPr>
      <w:r w:rsidRPr="00905DD7">
        <w:rPr>
          <w:b/>
        </w:rPr>
        <w:t xml:space="preserve">Figure </w:t>
      </w:r>
      <w:r w:rsidR="00093EF0">
        <w:rPr>
          <w:b/>
        </w:rPr>
        <w:t>10</w:t>
      </w:r>
      <w:r w:rsidRPr="00905DD7">
        <w:rPr>
          <w:b/>
        </w:rPr>
        <w:t>.</w:t>
      </w:r>
      <w:r w:rsidRPr="00905DD7">
        <w:t xml:space="preserve"> Performance of various amounts of Al-SIL (</w:t>
      </w:r>
      <w:r w:rsidRPr="00905DD7">
        <w:rPr>
          <w:i/>
          <w:iCs/>
        </w:rPr>
        <w:t>χ</w:t>
      </w:r>
      <w:r w:rsidRPr="00905DD7">
        <w:rPr>
          <w:vertAlign w:val="subscript"/>
        </w:rPr>
        <w:t>Al(</w:t>
      </w:r>
      <w:proofErr w:type="spellStart"/>
      <w:r w:rsidRPr="00905DD7">
        <w:rPr>
          <w:vertAlign w:val="subscript"/>
        </w:rPr>
        <w:t>OTf</w:t>
      </w:r>
      <w:proofErr w:type="spellEnd"/>
      <w:r w:rsidRPr="00905DD7">
        <w:rPr>
          <w:vertAlign w:val="subscript"/>
        </w:rPr>
        <w:t>)3</w:t>
      </w:r>
      <w:r w:rsidRPr="00905DD7">
        <w:t> = 0.33) in</w:t>
      </w:r>
      <w:r w:rsidRPr="00905DD7">
        <w:rPr>
          <w:vertAlign w:val="subscript"/>
        </w:rPr>
        <w:t xml:space="preserve"> </w:t>
      </w:r>
      <w:r w:rsidRPr="00905DD7">
        <w:t>[3+3] cycloaddition of 2,4-</w:t>
      </w:r>
      <w:r w:rsidRPr="00C6265D">
        <w:t>dimethylphenol to isoprene, relative to metal triflate. Reaction conditions: 2,4-dimethylphenol (</w:t>
      </w:r>
      <w:r w:rsidR="00A15970" w:rsidRPr="00C6265D">
        <w:t>8</w:t>
      </w:r>
      <w:r w:rsidRPr="00C6265D">
        <w:t xml:space="preserve"> mmol), isoprene (</w:t>
      </w:r>
      <w:r w:rsidR="00A15970" w:rsidRPr="00C6265D">
        <w:t>4</w:t>
      </w:r>
      <w:r w:rsidRPr="00C6265D">
        <w:t xml:space="preserve"> mmol),</w:t>
      </w:r>
      <w:r w:rsidRPr="00905DD7">
        <w:t xml:space="preserve"> 1000 rpm, T = 35 °C, S - selectivity to the main product.</w:t>
      </w:r>
    </w:p>
    <w:p w14:paraId="644AC9D0" w14:textId="57BD28B3" w:rsidR="0025076F" w:rsidRPr="00905DD7" w:rsidRDefault="00E513B5" w:rsidP="00C6265D">
      <w:pPr>
        <w:pStyle w:val="RSCB02ArticleText"/>
        <w:ind w:firstLine="284"/>
        <w:rPr>
          <w:lang w:val="en-GB"/>
        </w:rPr>
      </w:pPr>
      <w:r w:rsidRPr="00905DD7">
        <w:rPr>
          <w:lang w:val="en-GB"/>
        </w:rPr>
        <w:t>In a series of analogous experiments, the performance of 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at 2 mol% loading, was compared to Ga-SIL (</w:t>
      </w:r>
      <w:proofErr w:type="spellStart"/>
      <w:r w:rsidRPr="00905DD7">
        <w:rPr>
          <w:i/>
          <w:iCs/>
          <w:lang w:val="en-GB"/>
        </w:rPr>
        <w:t>χ</w:t>
      </w:r>
      <w:r w:rsidRPr="00905DD7">
        <w:rPr>
          <w:vertAlign w:val="subscript"/>
          <w:lang w:val="en-GB"/>
        </w:rPr>
        <w:t>Ga</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0.33), at 1, 2 and 5 mol% loadings (Figure </w:t>
      </w:r>
      <w:r w:rsidR="00317B1E">
        <w:rPr>
          <w:lang w:val="en-GB"/>
        </w:rPr>
        <w:t>11</w:t>
      </w:r>
      <w:r w:rsidRPr="00905DD7">
        <w:rPr>
          <w:lang w:val="en-GB"/>
        </w:rPr>
        <w:t>). Reaction catalysed with 2 mol% of 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reached </w:t>
      </w:r>
      <w:r w:rsidRPr="00905DD7">
        <w:rPr>
          <w:i/>
          <w:iCs/>
          <w:lang w:val="en-GB"/>
        </w:rPr>
        <w:t>ca</w:t>
      </w:r>
      <w:r w:rsidRPr="00905DD7">
        <w:rPr>
          <w:lang w:val="en-GB"/>
        </w:rPr>
        <w:t>. 91% conversion after 240 min, with selectivity approaching 90%, whereas the same loading of Ga-SIL (</w:t>
      </w:r>
      <w:proofErr w:type="spellStart"/>
      <w:r w:rsidRPr="00905DD7">
        <w:rPr>
          <w:i/>
          <w:iCs/>
          <w:lang w:val="en-GB"/>
        </w:rPr>
        <w:t>χ</w:t>
      </w:r>
      <w:r w:rsidRPr="00905DD7">
        <w:rPr>
          <w:vertAlign w:val="subscript"/>
          <w:lang w:val="en-GB"/>
        </w:rPr>
        <w:t>Ga</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0.33) gave full conversion after only 30 min. Extended reaction time increased the selectivity, from 86.8% after 30 min to 93.8% after 120 min. </w:t>
      </w:r>
    </w:p>
    <w:p w14:paraId="11CED23E" w14:textId="77777777" w:rsidR="00821DC5" w:rsidRPr="00905DD7" w:rsidRDefault="00821DC5" w:rsidP="00C6265D">
      <w:pPr>
        <w:pStyle w:val="RSCI02FigureSchemeChartwithtopbar"/>
        <w:jc w:val="center"/>
      </w:pPr>
      <w:r w:rsidRPr="00905DD7">
        <w:rPr>
          <w:noProof/>
        </w:rPr>
        <w:drawing>
          <wp:inline distT="0" distB="0" distL="0" distR="0" wp14:anchorId="13839323" wp14:editId="7966AC8D">
            <wp:extent cx="2988000" cy="2457163"/>
            <wp:effectExtent l="0" t="0" r="3175" b="635"/>
            <wp:docPr id="728937444" name="Obraz 1" descr="Obraz zawierający tekst, zrzut ekranu,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37444" name="Obraz 1" descr="Obraz zawierający tekst, zrzut ekranu, linia, diagram&#10;&#10;Opis wygenerowany automatycznie"/>
                    <pic:cNvPicPr/>
                  </pic:nvPicPr>
                  <pic:blipFill rotWithShape="1">
                    <a:blip r:embed="rId25" cstate="print">
                      <a:extLst>
                        <a:ext uri="{28A0092B-C50C-407E-A947-70E740481C1C}">
                          <a14:useLocalDpi xmlns:a14="http://schemas.microsoft.com/office/drawing/2010/main" val="0"/>
                        </a:ext>
                      </a:extLst>
                    </a:blip>
                    <a:srcRect r="-2"/>
                    <a:stretch/>
                  </pic:blipFill>
                  <pic:spPr bwMode="auto">
                    <a:xfrm>
                      <a:off x="0" y="0"/>
                      <a:ext cx="2988000" cy="2457163"/>
                    </a:xfrm>
                    <a:prstGeom prst="rect">
                      <a:avLst/>
                    </a:prstGeom>
                    <a:ln>
                      <a:noFill/>
                    </a:ln>
                    <a:extLst>
                      <a:ext uri="{53640926-AAD7-44D8-BBD7-CCE9431645EC}">
                        <a14:shadowObscured xmlns:a14="http://schemas.microsoft.com/office/drawing/2010/main"/>
                      </a:ext>
                    </a:extLst>
                  </pic:spPr>
                </pic:pic>
              </a:graphicData>
            </a:graphic>
          </wp:inline>
        </w:drawing>
      </w:r>
    </w:p>
    <w:p w14:paraId="46645E54" w14:textId="214CE589" w:rsidR="00821DC5" w:rsidRPr="00905DD7" w:rsidRDefault="00821DC5" w:rsidP="00C6265D">
      <w:pPr>
        <w:pStyle w:val="RSCI05CaptiontoFigureSchemeChartwithbottombar"/>
      </w:pPr>
      <w:r w:rsidRPr="00905DD7">
        <w:rPr>
          <w:b/>
        </w:rPr>
        <w:t xml:space="preserve">Figure </w:t>
      </w:r>
      <w:r w:rsidR="00093EF0">
        <w:rPr>
          <w:b/>
        </w:rPr>
        <w:t>11</w:t>
      </w:r>
      <w:r w:rsidRPr="00905DD7">
        <w:rPr>
          <w:b/>
        </w:rPr>
        <w:t>.</w:t>
      </w:r>
      <w:r w:rsidRPr="00905DD7">
        <w:t xml:space="preserve"> Performance of various amounts of Ga-SIL (</w:t>
      </w:r>
      <w:proofErr w:type="spellStart"/>
      <w:r w:rsidRPr="00905DD7">
        <w:rPr>
          <w:i/>
          <w:iCs/>
        </w:rPr>
        <w:t>χ</w:t>
      </w:r>
      <w:r w:rsidRPr="00905DD7">
        <w:rPr>
          <w:vertAlign w:val="subscript"/>
        </w:rPr>
        <w:t>Ga</w:t>
      </w:r>
      <w:proofErr w:type="spellEnd"/>
      <w:r w:rsidRPr="00905DD7">
        <w:rPr>
          <w:vertAlign w:val="subscript"/>
        </w:rPr>
        <w:t>(</w:t>
      </w:r>
      <w:proofErr w:type="spellStart"/>
      <w:r w:rsidRPr="00905DD7">
        <w:rPr>
          <w:vertAlign w:val="subscript"/>
        </w:rPr>
        <w:t>OTf</w:t>
      </w:r>
      <w:proofErr w:type="spellEnd"/>
      <w:r w:rsidRPr="00905DD7">
        <w:rPr>
          <w:vertAlign w:val="subscript"/>
        </w:rPr>
        <w:t>)3</w:t>
      </w:r>
      <w:r w:rsidRPr="00905DD7">
        <w:t> = 0.33) in</w:t>
      </w:r>
      <w:r w:rsidRPr="00905DD7">
        <w:rPr>
          <w:vertAlign w:val="subscript"/>
        </w:rPr>
        <w:t xml:space="preserve"> </w:t>
      </w:r>
      <w:r w:rsidRPr="00905DD7">
        <w:t>[3+</w:t>
      </w:r>
      <w:r w:rsidR="00E83CC7" w:rsidRPr="00905DD7">
        <w:t>3</w:t>
      </w:r>
      <w:r w:rsidRPr="00905DD7">
        <w:t xml:space="preserve">] cycloaddition of 2,4-dimethylphenol to isoprene, relative to metal triflate. Reaction conditions: </w:t>
      </w:r>
      <w:r w:rsidRPr="00C6265D">
        <w:t>2,4</w:t>
      </w:r>
      <w:r w:rsidRPr="00C6265D">
        <w:noBreakHyphen/>
        <w:t>dimethylphenol (</w:t>
      </w:r>
      <w:r w:rsidR="00A15970" w:rsidRPr="00C6265D">
        <w:t>8</w:t>
      </w:r>
      <w:r w:rsidRPr="00C6265D">
        <w:t xml:space="preserve"> mmol), isoprene (</w:t>
      </w:r>
      <w:r w:rsidR="00A15970" w:rsidRPr="00C6265D">
        <w:t>4</w:t>
      </w:r>
      <w:r w:rsidRPr="00C6265D">
        <w:t xml:space="preserve"> mmol), 1000</w:t>
      </w:r>
      <w:r w:rsidRPr="00905DD7">
        <w:t xml:space="preserve"> rpm, T = 35 °C, S - selectivity to the main product.</w:t>
      </w:r>
    </w:p>
    <w:p w14:paraId="38947E35" w14:textId="77777777" w:rsidR="00B27239" w:rsidRDefault="00B27239" w:rsidP="002B321E">
      <w:pPr>
        <w:pStyle w:val="RSCB02ArticleText"/>
        <w:ind w:firstLine="284"/>
        <w:rPr>
          <w:lang w:val="en-GB"/>
        </w:rPr>
      </w:pPr>
    </w:p>
    <w:p w14:paraId="5F2BECA3" w14:textId="38CD5722" w:rsidR="00E61653" w:rsidRDefault="006A4D6D" w:rsidP="002B321E">
      <w:pPr>
        <w:pStyle w:val="RSCB02ArticleText"/>
        <w:ind w:firstLine="284"/>
        <w:rPr>
          <w:lang w:val="en-GB"/>
        </w:rPr>
      </w:pPr>
      <w:r>
        <w:rPr>
          <w:lang w:val="en-GB"/>
        </w:rPr>
        <w:t>B</w:t>
      </w:r>
      <w:r w:rsidR="00E61653" w:rsidRPr="00905DD7">
        <w:rPr>
          <w:lang w:val="en-GB"/>
        </w:rPr>
        <w:t xml:space="preserve">oth gallium triflate and </w:t>
      </w:r>
      <w:r>
        <w:rPr>
          <w:lang w:val="en-GB"/>
        </w:rPr>
        <w:t>Ga-SIL</w:t>
      </w:r>
      <w:r w:rsidR="00E61653" w:rsidRPr="00905DD7">
        <w:rPr>
          <w:lang w:val="en-GB"/>
        </w:rPr>
        <w:t xml:space="preserve"> </w:t>
      </w:r>
      <w:r w:rsidR="00D34F16">
        <w:rPr>
          <w:lang w:val="en-GB"/>
        </w:rPr>
        <w:t xml:space="preserve">significantly </w:t>
      </w:r>
      <w:r w:rsidR="00E61653" w:rsidRPr="00905DD7">
        <w:rPr>
          <w:lang w:val="en-GB"/>
        </w:rPr>
        <w:t xml:space="preserve">outperformed their aluminium-based analogues, </w:t>
      </w:r>
      <w:r>
        <w:rPr>
          <w:lang w:val="en-GB"/>
        </w:rPr>
        <w:t>in keeping with higher</w:t>
      </w:r>
      <w:r w:rsidR="00E61653" w:rsidRPr="00905DD7">
        <w:rPr>
          <w:lang w:val="en-GB"/>
        </w:rPr>
        <w:t xml:space="preserve"> AN </w:t>
      </w:r>
      <w:r w:rsidR="00E61653">
        <w:rPr>
          <w:lang w:val="en-GB"/>
        </w:rPr>
        <w:t>values</w:t>
      </w:r>
      <w:r>
        <w:rPr>
          <w:lang w:val="en-GB"/>
        </w:rPr>
        <w:t xml:space="preserve"> recorded for Ga-SIL</w:t>
      </w:r>
      <w:r w:rsidR="00E61653" w:rsidRPr="00905DD7">
        <w:rPr>
          <w:lang w:val="en-GB"/>
        </w:rPr>
        <w:t xml:space="preserve"> (Table 1). </w:t>
      </w:r>
      <w:r w:rsidR="00D34F16">
        <w:rPr>
          <w:lang w:val="en-GB"/>
        </w:rPr>
        <w:t>T</w:t>
      </w:r>
      <w:r w:rsidR="00E61653" w:rsidRPr="00905DD7">
        <w:rPr>
          <w:lang w:val="en-GB"/>
        </w:rPr>
        <w:t xml:space="preserve">he Ga-SIL </w:t>
      </w:r>
      <w:r w:rsidRPr="00905DD7">
        <w:rPr>
          <w:lang w:val="en-GB"/>
        </w:rPr>
        <w:t>(</w:t>
      </w:r>
      <w:proofErr w:type="spellStart"/>
      <w:r w:rsidRPr="00905DD7">
        <w:rPr>
          <w:i/>
          <w:iCs/>
          <w:lang w:val="en-GB"/>
        </w:rPr>
        <w:t>χ</w:t>
      </w:r>
      <w:r>
        <w:rPr>
          <w:vertAlign w:val="subscript"/>
          <w:lang w:val="en-GB"/>
        </w:rPr>
        <w:t>Ga</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xml:space="preserve">= 0.33, loading 2 mol%) </w:t>
      </w:r>
      <w:r w:rsidR="00E61653" w:rsidRPr="00905DD7">
        <w:rPr>
          <w:lang w:val="en-GB"/>
        </w:rPr>
        <w:t xml:space="preserve">gave full conversion in 120 min, whereas analogous Al-SIL required 240 min. </w:t>
      </w:r>
    </w:p>
    <w:p w14:paraId="3735D074" w14:textId="79A89064" w:rsidR="00E513B5" w:rsidRPr="00905DD7" w:rsidRDefault="00821DC5" w:rsidP="002B321E">
      <w:pPr>
        <w:pStyle w:val="RSCB02ArticleText"/>
        <w:ind w:firstLine="284"/>
        <w:rPr>
          <w:lang w:val="en-GB"/>
        </w:rPr>
      </w:pPr>
      <w:r w:rsidRPr="00905DD7">
        <w:rPr>
          <w:lang w:val="en-GB"/>
        </w:rPr>
        <w:t xml:space="preserve">The best outcomes, in terms of conversion and selectivity, achieved with each tested catalyst, are given in Table </w:t>
      </w:r>
      <w:r w:rsidR="0043276C" w:rsidRPr="00905DD7">
        <w:rPr>
          <w:lang w:val="en-GB"/>
        </w:rPr>
        <w:t>2</w:t>
      </w:r>
      <w:r w:rsidRPr="00905DD7">
        <w:rPr>
          <w:lang w:val="en-GB"/>
        </w:rPr>
        <w:t xml:space="preserve">, along with </w:t>
      </w:r>
      <w:r w:rsidR="006A4D6D">
        <w:rPr>
          <w:lang w:val="en-GB"/>
        </w:rPr>
        <w:t xml:space="preserve">corresponding </w:t>
      </w:r>
      <w:r w:rsidRPr="00905DD7">
        <w:rPr>
          <w:lang w:val="en-GB"/>
        </w:rPr>
        <w:t xml:space="preserve">experimental conditions. </w:t>
      </w:r>
      <w:r w:rsidR="006A4D6D">
        <w:rPr>
          <w:lang w:val="en-GB"/>
        </w:rPr>
        <w:t xml:space="preserve">Both Al-SIL and Ga-SIL outperformed their corresponding triflates at the same loadings of 2 mol%. </w:t>
      </w:r>
      <w:r w:rsidR="00E513B5" w:rsidRPr="00905DD7">
        <w:rPr>
          <w:lang w:val="en-GB"/>
        </w:rPr>
        <w:t>Inferior reaction rates in M(</w:t>
      </w:r>
      <w:proofErr w:type="spellStart"/>
      <w:r w:rsidR="00E513B5" w:rsidRPr="00905DD7">
        <w:rPr>
          <w:lang w:val="en-GB"/>
        </w:rPr>
        <w:t>OTf</w:t>
      </w:r>
      <w:proofErr w:type="spellEnd"/>
      <w:r w:rsidR="00E513B5" w:rsidRPr="00905DD7">
        <w:rPr>
          <w:lang w:val="en-GB"/>
        </w:rPr>
        <w:t>)</w:t>
      </w:r>
      <w:r w:rsidR="00E513B5" w:rsidRPr="00905DD7">
        <w:rPr>
          <w:vertAlign w:val="subscript"/>
          <w:lang w:val="en-GB"/>
        </w:rPr>
        <w:t>3</w:t>
      </w:r>
      <w:r w:rsidR="00E513B5" w:rsidRPr="00905DD7">
        <w:rPr>
          <w:lang w:val="en-GB"/>
        </w:rPr>
        <w:t>-catalysed reactions could be attributed to poor mass transport, as the triflate salts were suspended rather than dissolved. However, for both M(</w:t>
      </w:r>
      <w:proofErr w:type="spellStart"/>
      <w:r w:rsidR="00E513B5" w:rsidRPr="00905DD7">
        <w:rPr>
          <w:lang w:val="en-GB"/>
        </w:rPr>
        <w:t>OTf</w:t>
      </w:r>
      <w:proofErr w:type="spellEnd"/>
      <w:r w:rsidR="00E513B5" w:rsidRPr="00905DD7">
        <w:rPr>
          <w:lang w:val="en-GB"/>
        </w:rPr>
        <w:t>)</w:t>
      </w:r>
      <w:r w:rsidR="00E513B5" w:rsidRPr="00905DD7">
        <w:rPr>
          <w:vertAlign w:val="subscript"/>
          <w:lang w:val="en-GB"/>
        </w:rPr>
        <w:t>3</w:t>
      </w:r>
      <w:r w:rsidR="00E513B5" w:rsidRPr="00905DD7">
        <w:rPr>
          <w:lang w:val="en-GB"/>
        </w:rPr>
        <w:t xml:space="preserve"> catalysts, conversions reached plateau values, whereas SILs enabled both full conversions and higher selectivities to chromane, which cannot not be attributed </w:t>
      </w:r>
      <w:r w:rsidR="006A4D6D">
        <w:rPr>
          <w:lang w:val="en-GB"/>
        </w:rPr>
        <w:t xml:space="preserve">solely </w:t>
      </w:r>
      <w:r w:rsidR="00E513B5" w:rsidRPr="00905DD7">
        <w:rPr>
          <w:lang w:val="en-GB"/>
        </w:rPr>
        <w:t>to mass transfer.</w:t>
      </w:r>
      <w:r w:rsidR="00977885">
        <w:rPr>
          <w:lang w:val="en-GB"/>
        </w:rPr>
        <w:t xml:space="preserve"> We have therefore concluded that altering coordination around the metal centres, from triflate-only to mixed glyme/triflate complexes, had the dual benefit of (</w:t>
      </w:r>
      <w:proofErr w:type="spellStart"/>
      <w:r w:rsidR="00977885">
        <w:rPr>
          <w:lang w:val="en-GB"/>
        </w:rPr>
        <w:t>i</w:t>
      </w:r>
      <w:proofErr w:type="spellEnd"/>
      <w:r w:rsidR="00977885">
        <w:rPr>
          <w:lang w:val="en-GB"/>
        </w:rPr>
        <w:t>) increased solubility in the organic phase and (ii) increased catalytic activity.</w:t>
      </w:r>
    </w:p>
    <w:p w14:paraId="1BD84CE2" w14:textId="4038CDCF" w:rsidR="00821DC5" w:rsidRPr="00905DD7" w:rsidRDefault="00977885" w:rsidP="002B321E">
      <w:pPr>
        <w:pStyle w:val="RSCB02ArticleText"/>
        <w:ind w:firstLine="284"/>
        <w:rPr>
          <w:lang w:val="en-GB"/>
        </w:rPr>
      </w:pPr>
      <w:r>
        <w:rPr>
          <w:lang w:val="en-GB"/>
        </w:rPr>
        <w:t>Following this reasoning, it was concluded</w:t>
      </w:r>
      <w:r w:rsidR="00821DC5" w:rsidRPr="00905DD7">
        <w:rPr>
          <w:lang w:val="en-GB"/>
        </w:rPr>
        <w:t xml:space="preserve"> that </w:t>
      </w:r>
      <w:r>
        <w:rPr>
          <w:lang w:val="en-GB"/>
        </w:rPr>
        <w:t xml:space="preserve">further </w:t>
      </w:r>
      <w:r w:rsidR="00821DC5" w:rsidRPr="00905DD7">
        <w:rPr>
          <w:lang w:val="en-GB"/>
        </w:rPr>
        <w:t xml:space="preserve">altering </w:t>
      </w:r>
      <w:r>
        <w:rPr>
          <w:lang w:val="en-GB"/>
        </w:rPr>
        <w:t xml:space="preserve">of </w:t>
      </w:r>
      <w:r w:rsidR="00821DC5" w:rsidRPr="00905DD7">
        <w:rPr>
          <w:lang w:val="en-GB"/>
        </w:rPr>
        <w:t xml:space="preserve">the coordination environment of Al(III) and Ga(III), from triflate to glyme ligands, </w:t>
      </w:r>
      <w:r>
        <w:rPr>
          <w:lang w:val="en-GB"/>
        </w:rPr>
        <w:t>could be beneficial</w:t>
      </w:r>
      <w:r w:rsidR="00821DC5" w:rsidRPr="00905DD7">
        <w:rPr>
          <w:lang w:val="en-GB"/>
        </w:rPr>
        <w:t xml:space="preserve">. To test this hypothesis, both SILs were tested at </w:t>
      </w:r>
      <w:proofErr w:type="spellStart"/>
      <w:r w:rsidR="00821DC5" w:rsidRPr="00905DD7">
        <w:rPr>
          <w:i/>
          <w:iCs/>
          <w:lang w:val="en-GB"/>
        </w:rPr>
        <w:t>χ</w:t>
      </w:r>
      <w:r w:rsidR="00821DC5" w:rsidRPr="00905DD7">
        <w:rPr>
          <w:vertAlign w:val="subscript"/>
          <w:lang w:val="en-GB"/>
        </w:rPr>
        <w:t>M</w:t>
      </w:r>
      <w:proofErr w:type="spellEnd"/>
      <w:r w:rsidR="00821DC5" w:rsidRPr="00905DD7">
        <w:rPr>
          <w:vertAlign w:val="subscript"/>
          <w:lang w:val="en-GB"/>
        </w:rPr>
        <w:t>(</w:t>
      </w:r>
      <w:proofErr w:type="spellStart"/>
      <w:r w:rsidR="00821DC5" w:rsidRPr="00905DD7">
        <w:rPr>
          <w:vertAlign w:val="subscript"/>
          <w:lang w:val="en-GB"/>
        </w:rPr>
        <w:t>OTf</w:t>
      </w:r>
      <w:proofErr w:type="spellEnd"/>
      <w:r w:rsidR="00821DC5" w:rsidRPr="00905DD7">
        <w:rPr>
          <w:vertAlign w:val="subscript"/>
          <w:lang w:val="en-GB"/>
        </w:rPr>
        <w:t xml:space="preserve">)3 </w:t>
      </w:r>
      <w:r w:rsidR="00821DC5" w:rsidRPr="00905DD7">
        <w:rPr>
          <w:lang w:val="en-GB"/>
        </w:rPr>
        <w:t xml:space="preserve">= 0.09, with vastly increased concentration of G3 with respect to metal. However, even at 5 mol% loading, the </w:t>
      </w:r>
      <w:proofErr w:type="spellStart"/>
      <w:r w:rsidR="00821DC5" w:rsidRPr="00905DD7">
        <w:rPr>
          <w:i/>
          <w:iCs/>
          <w:lang w:val="en-GB"/>
        </w:rPr>
        <w:t>χ</w:t>
      </w:r>
      <w:r w:rsidR="00821DC5" w:rsidRPr="00905DD7">
        <w:rPr>
          <w:vertAlign w:val="subscript"/>
          <w:lang w:val="en-GB"/>
        </w:rPr>
        <w:t>M</w:t>
      </w:r>
      <w:proofErr w:type="spellEnd"/>
      <w:r w:rsidR="00821DC5" w:rsidRPr="00905DD7">
        <w:rPr>
          <w:vertAlign w:val="subscript"/>
          <w:lang w:val="en-GB"/>
        </w:rPr>
        <w:t>(</w:t>
      </w:r>
      <w:proofErr w:type="spellStart"/>
      <w:r w:rsidR="00821DC5" w:rsidRPr="00905DD7">
        <w:rPr>
          <w:vertAlign w:val="subscript"/>
          <w:lang w:val="en-GB"/>
        </w:rPr>
        <w:t>OTf</w:t>
      </w:r>
      <w:proofErr w:type="spellEnd"/>
      <w:r w:rsidR="00821DC5" w:rsidRPr="00905DD7">
        <w:rPr>
          <w:vertAlign w:val="subscript"/>
          <w:lang w:val="en-GB"/>
        </w:rPr>
        <w:t xml:space="preserve">)3 </w:t>
      </w:r>
      <w:r w:rsidR="00821DC5" w:rsidRPr="00905DD7">
        <w:rPr>
          <w:lang w:val="en-GB"/>
        </w:rPr>
        <w:t xml:space="preserve">= 0.09 SILs produced inferior results (Table </w:t>
      </w:r>
      <w:r w:rsidR="0043276C" w:rsidRPr="00905DD7">
        <w:rPr>
          <w:lang w:val="en-GB"/>
        </w:rPr>
        <w:t>2</w:t>
      </w:r>
      <w:r w:rsidR="00821DC5" w:rsidRPr="00905DD7">
        <w:rPr>
          <w:lang w:val="en-GB"/>
        </w:rPr>
        <w:t xml:space="preserve">, entries 4 and 8), when compared to </w:t>
      </w:r>
      <w:proofErr w:type="spellStart"/>
      <w:r w:rsidR="00821DC5" w:rsidRPr="00905DD7">
        <w:rPr>
          <w:i/>
          <w:iCs/>
          <w:lang w:val="en-GB"/>
        </w:rPr>
        <w:t>χ</w:t>
      </w:r>
      <w:r w:rsidR="00821DC5" w:rsidRPr="00905DD7">
        <w:rPr>
          <w:vertAlign w:val="subscript"/>
          <w:lang w:val="en-GB"/>
        </w:rPr>
        <w:t>M</w:t>
      </w:r>
      <w:proofErr w:type="spellEnd"/>
      <w:r w:rsidR="00821DC5" w:rsidRPr="00905DD7">
        <w:rPr>
          <w:vertAlign w:val="subscript"/>
          <w:lang w:val="en-GB"/>
        </w:rPr>
        <w:t>(</w:t>
      </w:r>
      <w:proofErr w:type="spellStart"/>
      <w:r w:rsidR="00821DC5" w:rsidRPr="00905DD7">
        <w:rPr>
          <w:vertAlign w:val="subscript"/>
          <w:lang w:val="en-GB"/>
        </w:rPr>
        <w:t>OTf</w:t>
      </w:r>
      <w:proofErr w:type="spellEnd"/>
      <w:r w:rsidR="00821DC5" w:rsidRPr="00905DD7">
        <w:rPr>
          <w:vertAlign w:val="subscript"/>
          <w:lang w:val="en-GB"/>
        </w:rPr>
        <w:t xml:space="preserve">)3 </w:t>
      </w:r>
      <w:r w:rsidR="00821DC5" w:rsidRPr="00905DD7">
        <w:rPr>
          <w:lang w:val="en-GB"/>
        </w:rPr>
        <w:t xml:space="preserve">= 0.33 SILs (Table </w:t>
      </w:r>
      <w:r w:rsidR="0043276C" w:rsidRPr="00905DD7">
        <w:rPr>
          <w:lang w:val="en-GB"/>
        </w:rPr>
        <w:t>2</w:t>
      </w:r>
      <w:r w:rsidR="00821DC5" w:rsidRPr="00905DD7">
        <w:rPr>
          <w:lang w:val="en-GB"/>
        </w:rPr>
        <w:t>, entries 2, 3, 6 and 7).</w:t>
      </w:r>
      <w:r>
        <w:rPr>
          <w:lang w:val="en-GB"/>
        </w:rPr>
        <w:t xml:space="preserve"> Most likely, liquids at </w:t>
      </w:r>
      <w:proofErr w:type="spellStart"/>
      <w:r w:rsidRPr="00905DD7">
        <w:rPr>
          <w:i/>
          <w:iCs/>
          <w:lang w:val="en-GB"/>
        </w:rPr>
        <w:t>χ</w:t>
      </w:r>
      <w:r>
        <w:rPr>
          <w:vertAlign w:val="subscript"/>
          <w:lang w:val="en-GB"/>
        </w:rPr>
        <w:t>M</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0.</w:t>
      </w:r>
      <w:r>
        <w:rPr>
          <w:lang w:val="en-GB"/>
        </w:rPr>
        <w:t>09 are merely solutions of SILs of certain fixed compositions in the excess of glyme; upon addition to the reaction mixture, excess glyme is simply washed away and acts as a dilutant to the system, decreasing overall concentration of reactants.</w:t>
      </w:r>
    </w:p>
    <w:p w14:paraId="26524F21" w14:textId="6CB32649" w:rsidR="00821DC5" w:rsidRPr="00905DD7" w:rsidRDefault="00821DC5" w:rsidP="00821DC5">
      <w:pPr>
        <w:pStyle w:val="RSCT01TableTitlewithtopbar"/>
      </w:pPr>
      <w:r w:rsidRPr="00905DD7">
        <w:rPr>
          <w:b/>
        </w:rPr>
        <w:t xml:space="preserve">Table </w:t>
      </w:r>
      <w:r w:rsidR="0043276C" w:rsidRPr="00905DD7">
        <w:rPr>
          <w:b/>
        </w:rPr>
        <w:t>2</w:t>
      </w:r>
      <w:r w:rsidRPr="00905DD7">
        <w:rPr>
          <w:b/>
        </w:rPr>
        <w:t>.</w:t>
      </w:r>
      <w:r w:rsidRPr="00905DD7">
        <w:t xml:space="preserve"> </w:t>
      </w:r>
      <w:bookmarkStart w:id="8" w:name="_Hlk151204752"/>
      <w:r w:rsidRPr="00905DD7">
        <w:t>Performance of SILs in</w:t>
      </w:r>
      <w:r w:rsidRPr="00905DD7">
        <w:rPr>
          <w:vertAlign w:val="subscript"/>
        </w:rPr>
        <w:t xml:space="preserve"> </w:t>
      </w:r>
      <w:r w:rsidRPr="00905DD7">
        <w:t>[3 + 3] cycloaddition of 2,4-dimethylphenol to isoprene.</w:t>
      </w:r>
    </w:p>
    <w:tbl>
      <w:tblPr>
        <w:tblW w:w="5000" w:type="pct"/>
        <w:tblLook w:val="01E0" w:firstRow="1" w:lastRow="1" w:firstColumn="1" w:lastColumn="1" w:noHBand="0" w:noVBand="0"/>
      </w:tblPr>
      <w:tblGrid>
        <w:gridCol w:w="396"/>
        <w:gridCol w:w="932"/>
        <w:gridCol w:w="623"/>
        <w:gridCol w:w="716"/>
        <w:gridCol w:w="549"/>
        <w:gridCol w:w="915"/>
        <w:gridCol w:w="858"/>
      </w:tblGrid>
      <w:tr w:rsidR="00353560" w:rsidRPr="00353560" w14:paraId="7D7AEFF1" w14:textId="77777777" w:rsidTr="00DC15C2">
        <w:trPr>
          <w:trHeight w:val="20"/>
        </w:trPr>
        <w:tc>
          <w:tcPr>
            <w:tcW w:w="397" w:type="pct"/>
            <w:tcBorders>
              <w:bottom w:val="single" w:sz="4" w:space="0" w:color="auto"/>
            </w:tcBorders>
            <w:shd w:val="clear" w:color="auto" w:fill="auto"/>
            <w:vAlign w:val="center"/>
          </w:tcPr>
          <w:bookmarkEnd w:id="8"/>
          <w:p w14:paraId="3EB26235" w14:textId="77777777" w:rsidR="00353560" w:rsidRPr="00DC15C2" w:rsidRDefault="00353560" w:rsidP="00DC15C2">
            <w:pPr>
              <w:pStyle w:val="RSCT03TableBody"/>
              <w:spacing w:line="240" w:lineRule="auto"/>
              <w:rPr>
                <w:b/>
                <w:bCs/>
                <w:sz w:val="15"/>
                <w:szCs w:val="15"/>
              </w:rPr>
            </w:pPr>
            <w:r w:rsidRPr="00DC15C2">
              <w:rPr>
                <w:b/>
                <w:bCs/>
                <w:sz w:val="15"/>
                <w:szCs w:val="15"/>
              </w:rPr>
              <w:t>No</w:t>
            </w:r>
          </w:p>
        </w:tc>
        <w:tc>
          <w:tcPr>
            <w:tcW w:w="975" w:type="pct"/>
            <w:tcBorders>
              <w:bottom w:val="single" w:sz="4" w:space="0" w:color="auto"/>
            </w:tcBorders>
            <w:shd w:val="clear" w:color="auto" w:fill="auto"/>
            <w:vAlign w:val="center"/>
          </w:tcPr>
          <w:p w14:paraId="5C6E4E17" w14:textId="77777777" w:rsidR="00353560" w:rsidRPr="00DC15C2" w:rsidRDefault="00353560" w:rsidP="00DC15C2">
            <w:pPr>
              <w:pStyle w:val="RSCT03TableBody"/>
              <w:spacing w:line="240" w:lineRule="auto"/>
              <w:rPr>
                <w:b/>
                <w:bCs/>
                <w:sz w:val="15"/>
                <w:szCs w:val="15"/>
              </w:rPr>
            </w:pPr>
            <w:r w:rsidRPr="00DC15C2">
              <w:rPr>
                <w:b/>
                <w:bCs/>
                <w:sz w:val="15"/>
                <w:szCs w:val="15"/>
              </w:rPr>
              <w:t>Catalyst</w:t>
            </w:r>
          </w:p>
        </w:tc>
        <w:tc>
          <w:tcPr>
            <w:tcW w:w="583" w:type="pct"/>
            <w:tcBorders>
              <w:bottom w:val="single" w:sz="4" w:space="0" w:color="auto"/>
            </w:tcBorders>
            <w:vAlign w:val="center"/>
          </w:tcPr>
          <w:p w14:paraId="29EC1FA4" w14:textId="0025E3B5" w:rsidR="00353560" w:rsidRPr="00353560" w:rsidRDefault="00353560" w:rsidP="00353560">
            <w:pPr>
              <w:pStyle w:val="RSCT03TableBody"/>
              <w:spacing w:line="240" w:lineRule="auto"/>
              <w:rPr>
                <w:b/>
                <w:bCs/>
                <w:sz w:val="15"/>
                <w:szCs w:val="15"/>
              </w:rPr>
            </w:pPr>
            <w:proofErr w:type="spellStart"/>
            <w:r w:rsidRPr="00090826">
              <w:rPr>
                <w:i/>
                <w:iCs/>
                <w:sz w:val="15"/>
                <w:szCs w:val="15"/>
              </w:rPr>
              <w:t>χ</w:t>
            </w:r>
            <w:r>
              <w:rPr>
                <w:sz w:val="15"/>
                <w:szCs w:val="15"/>
                <w:vertAlign w:val="subscript"/>
              </w:rPr>
              <w:t>M</w:t>
            </w:r>
            <w:proofErr w:type="spellEnd"/>
            <w:r w:rsidRPr="00090826">
              <w:rPr>
                <w:sz w:val="15"/>
                <w:szCs w:val="15"/>
                <w:vertAlign w:val="subscript"/>
              </w:rPr>
              <w:t>(</w:t>
            </w:r>
            <w:proofErr w:type="spellStart"/>
            <w:r w:rsidRPr="00090826">
              <w:rPr>
                <w:sz w:val="15"/>
                <w:szCs w:val="15"/>
                <w:vertAlign w:val="subscript"/>
              </w:rPr>
              <w:t>OTf</w:t>
            </w:r>
            <w:proofErr w:type="spellEnd"/>
            <w:r w:rsidRPr="00090826">
              <w:rPr>
                <w:sz w:val="15"/>
                <w:szCs w:val="15"/>
                <w:vertAlign w:val="subscript"/>
              </w:rPr>
              <w:t>)3</w:t>
            </w:r>
          </w:p>
        </w:tc>
        <w:tc>
          <w:tcPr>
            <w:tcW w:w="718" w:type="pct"/>
            <w:tcBorders>
              <w:bottom w:val="single" w:sz="4" w:space="0" w:color="auto"/>
            </w:tcBorders>
            <w:shd w:val="clear" w:color="auto" w:fill="auto"/>
            <w:vAlign w:val="center"/>
          </w:tcPr>
          <w:p w14:paraId="0EB6A319" w14:textId="0C1C04AD" w:rsidR="00353560" w:rsidRPr="00DC15C2" w:rsidRDefault="00353560" w:rsidP="00DC15C2">
            <w:pPr>
              <w:pStyle w:val="RSCT03TableBody"/>
              <w:spacing w:line="240" w:lineRule="auto"/>
              <w:rPr>
                <w:b/>
                <w:bCs/>
                <w:sz w:val="15"/>
                <w:szCs w:val="15"/>
              </w:rPr>
            </w:pPr>
            <w:r w:rsidRPr="00DC15C2">
              <w:rPr>
                <w:b/>
                <w:bCs/>
                <w:sz w:val="15"/>
                <w:szCs w:val="15"/>
              </w:rPr>
              <w:t>Catalyst loading (mol%)</w:t>
            </w:r>
          </w:p>
        </w:tc>
        <w:tc>
          <w:tcPr>
            <w:tcW w:w="550" w:type="pct"/>
            <w:tcBorders>
              <w:bottom w:val="single" w:sz="4" w:space="0" w:color="auto"/>
            </w:tcBorders>
            <w:shd w:val="clear" w:color="auto" w:fill="auto"/>
            <w:vAlign w:val="center"/>
          </w:tcPr>
          <w:p w14:paraId="0F9BA84A" w14:textId="77777777" w:rsidR="00353560" w:rsidRPr="00DC15C2" w:rsidRDefault="00353560" w:rsidP="00DC15C2">
            <w:pPr>
              <w:pStyle w:val="RSCT03TableBody"/>
              <w:spacing w:line="240" w:lineRule="auto"/>
              <w:rPr>
                <w:b/>
                <w:bCs/>
                <w:sz w:val="15"/>
                <w:szCs w:val="15"/>
              </w:rPr>
            </w:pPr>
            <w:r w:rsidRPr="00DC15C2">
              <w:rPr>
                <w:b/>
                <w:bCs/>
                <w:sz w:val="15"/>
                <w:szCs w:val="15"/>
              </w:rPr>
              <w:t>Time (min)</w:t>
            </w:r>
          </w:p>
        </w:tc>
        <w:tc>
          <w:tcPr>
            <w:tcW w:w="917" w:type="pct"/>
            <w:tcBorders>
              <w:bottom w:val="single" w:sz="4" w:space="0" w:color="auto"/>
            </w:tcBorders>
            <w:shd w:val="clear" w:color="auto" w:fill="auto"/>
            <w:vAlign w:val="center"/>
          </w:tcPr>
          <w:p w14:paraId="6193C6D1" w14:textId="77777777" w:rsidR="00353560" w:rsidRPr="00DC15C2" w:rsidRDefault="00353560" w:rsidP="00DC15C2">
            <w:pPr>
              <w:pStyle w:val="RSCT03TableBody"/>
              <w:spacing w:line="240" w:lineRule="auto"/>
              <w:rPr>
                <w:b/>
                <w:bCs/>
                <w:sz w:val="15"/>
                <w:szCs w:val="15"/>
              </w:rPr>
            </w:pPr>
            <w:r w:rsidRPr="00DC15C2">
              <w:rPr>
                <w:b/>
                <w:bCs/>
                <w:sz w:val="15"/>
                <w:szCs w:val="15"/>
              </w:rPr>
              <w:t>Conversion (%)</w:t>
            </w:r>
          </w:p>
        </w:tc>
        <w:tc>
          <w:tcPr>
            <w:tcW w:w="860" w:type="pct"/>
            <w:tcBorders>
              <w:bottom w:val="single" w:sz="4" w:space="0" w:color="auto"/>
            </w:tcBorders>
            <w:shd w:val="clear" w:color="auto" w:fill="auto"/>
            <w:vAlign w:val="center"/>
          </w:tcPr>
          <w:p w14:paraId="7D3F3902" w14:textId="77777777" w:rsidR="00353560" w:rsidRPr="00DC15C2" w:rsidRDefault="00353560" w:rsidP="00DC15C2">
            <w:pPr>
              <w:pStyle w:val="RSCT03TableBody"/>
              <w:spacing w:line="240" w:lineRule="auto"/>
              <w:rPr>
                <w:b/>
                <w:bCs/>
                <w:sz w:val="15"/>
                <w:szCs w:val="15"/>
              </w:rPr>
            </w:pPr>
            <w:r w:rsidRPr="00DC15C2">
              <w:rPr>
                <w:b/>
                <w:bCs/>
                <w:sz w:val="15"/>
                <w:szCs w:val="15"/>
              </w:rPr>
              <w:t>Selectivity (%)</w:t>
            </w:r>
          </w:p>
        </w:tc>
      </w:tr>
      <w:tr w:rsidR="00353560" w:rsidRPr="00353560" w14:paraId="77965898" w14:textId="77777777" w:rsidTr="00DC15C2">
        <w:trPr>
          <w:trHeight w:val="20"/>
        </w:trPr>
        <w:tc>
          <w:tcPr>
            <w:tcW w:w="397" w:type="pct"/>
            <w:tcBorders>
              <w:top w:val="single" w:sz="4" w:space="0" w:color="auto"/>
            </w:tcBorders>
            <w:shd w:val="clear" w:color="auto" w:fill="auto"/>
            <w:vAlign w:val="center"/>
          </w:tcPr>
          <w:p w14:paraId="7053F83E" w14:textId="77777777" w:rsidR="00353560" w:rsidRPr="00DC15C2" w:rsidRDefault="00353560" w:rsidP="00DC15C2">
            <w:pPr>
              <w:pStyle w:val="RSCT03TableBody"/>
              <w:spacing w:line="240" w:lineRule="auto"/>
              <w:rPr>
                <w:sz w:val="15"/>
                <w:szCs w:val="15"/>
              </w:rPr>
            </w:pPr>
            <w:r w:rsidRPr="00DC15C2">
              <w:rPr>
                <w:sz w:val="15"/>
                <w:szCs w:val="15"/>
              </w:rPr>
              <w:t>1.</w:t>
            </w:r>
          </w:p>
        </w:tc>
        <w:tc>
          <w:tcPr>
            <w:tcW w:w="975" w:type="pct"/>
            <w:tcBorders>
              <w:top w:val="single" w:sz="4" w:space="0" w:color="auto"/>
            </w:tcBorders>
            <w:shd w:val="clear" w:color="auto" w:fill="auto"/>
            <w:vAlign w:val="center"/>
          </w:tcPr>
          <w:p w14:paraId="606760ED" w14:textId="77777777" w:rsidR="00353560" w:rsidRPr="00DC15C2" w:rsidRDefault="00353560" w:rsidP="00DC15C2">
            <w:pPr>
              <w:pStyle w:val="RSCT03TableBody"/>
              <w:spacing w:line="240" w:lineRule="auto"/>
              <w:rPr>
                <w:sz w:val="15"/>
                <w:szCs w:val="15"/>
              </w:rPr>
            </w:pPr>
            <w:r w:rsidRPr="00DC15C2">
              <w:rPr>
                <w:sz w:val="15"/>
                <w:szCs w:val="15"/>
              </w:rPr>
              <w:t>Al(</w:t>
            </w:r>
            <w:proofErr w:type="spellStart"/>
            <w:r w:rsidRPr="00DC15C2">
              <w:rPr>
                <w:sz w:val="15"/>
                <w:szCs w:val="15"/>
              </w:rPr>
              <w:t>OTf</w:t>
            </w:r>
            <w:proofErr w:type="spellEnd"/>
            <w:r w:rsidRPr="00DC15C2">
              <w:rPr>
                <w:sz w:val="15"/>
                <w:szCs w:val="15"/>
              </w:rPr>
              <w:t>)</w:t>
            </w:r>
            <w:r w:rsidRPr="00DC15C2">
              <w:rPr>
                <w:sz w:val="15"/>
                <w:szCs w:val="15"/>
                <w:vertAlign w:val="subscript"/>
              </w:rPr>
              <w:t>3</w:t>
            </w:r>
          </w:p>
        </w:tc>
        <w:tc>
          <w:tcPr>
            <w:tcW w:w="583" w:type="pct"/>
            <w:tcBorders>
              <w:top w:val="single" w:sz="4" w:space="0" w:color="auto"/>
            </w:tcBorders>
          </w:tcPr>
          <w:p w14:paraId="5FA73E88" w14:textId="057F2901" w:rsidR="00353560" w:rsidRPr="00353560" w:rsidRDefault="00353560" w:rsidP="004A7009">
            <w:pPr>
              <w:pStyle w:val="RSCT03TableBody"/>
              <w:spacing w:line="240" w:lineRule="auto"/>
              <w:rPr>
                <w:sz w:val="15"/>
                <w:szCs w:val="15"/>
              </w:rPr>
            </w:pPr>
            <w:r>
              <w:rPr>
                <w:sz w:val="15"/>
                <w:szCs w:val="15"/>
              </w:rPr>
              <w:t>1.00</w:t>
            </w:r>
          </w:p>
        </w:tc>
        <w:tc>
          <w:tcPr>
            <w:tcW w:w="718" w:type="pct"/>
            <w:tcBorders>
              <w:top w:val="single" w:sz="4" w:space="0" w:color="auto"/>
            </w:tcBorders>
            <w:shd w:val="clear" w:color="auto" w:fill="auto"/>
            <w:vAlign w:val="center"/>
          </w:tcPr>
          <w:p w14:paraId="78FE4E6B" w14:textId="6286924B" w:rsidR="00353560" w:rsidRPr="00DC15C2" w:rsidRDefault="00353560" w:rsidP="00DC15C2">
            <w:pPr>
              <w:pStyle w:val="RSCT03TableBody"/>
              <w:spacing w:line="240" w:lineRule="auto"/>
              <w:rPr>
                <w:sz w:val="15"/>
                <w:szCs w:val="15"/>
              </w:rPr>
            </w:pPr>
            <w:r w:rsidRPr="00DC15C2">
              <w:rPr>
                <w:sz w:val="15"/>
                <w:szCs w:val="15"/>
              </w:rPr>
              <w:t>2</w:t>
            </w:r>
          </w:p>
        </w:tc>
        <w:tc>
          <w:tcPr>
            <w:tcW w:w="550" w:type="pct"/>
            <w:tcBorders>
              <w:top w:val="single" w:sz="4" w:space="0" w:color="auto"/>
            </w:tcBorders>
            <w:shd w:val="clear" w:color="auto" w:fill="auto"/>
            <w:vAlign w:val="center"/>
          </w:tcPr>
          <w:p w14:paraId="4F135568" w14:textId="77777777" w:rsidR="00353560" w:rsidRPr="00DC15C2" w:rsidRDefault="00353560" w:rsidP="00DC15C2">
            <w:pPr>
              <w:pStyle w:val="RSCT03TableBody"/>
              <w:spacing w:line="240" w:lineRule="auto"/>
              <w:rPr>
                <w:sz w:val="15"/>
                <w:szCs w:val="15"/>
              </w:rPr>
            </w:pPr>
            <w:r w:rsidRPr="00DC15C2">
              <w:rPr>
                <w:sz w:val="15"/>
                <w:szCs w:val="15"/>
              </w:rPr>
              <w:t>180</w:t>
            </w:r>
          </w:p>
        </w:tc>
        <w:tc>
          <w:tcPr>
            <w:tcW w:w="917" w:type="pct"/>
            <w:tcBorders>
              <w:top w:val="single" w:sz="4" w:space="0" w:color="auto"/>
            </w:tcBorders>
            <w:shd w:val="clear" w:color="auto" w:fill="auto"/>
            <w:vAlign w:val="center"/>
          </w:tcPr>
          <w:p w14:paraId="33C05E68" w14:textId="77777777" w:rsidR="00353560" w:rsidRPr="00DC15C2" w:rsidRDefault="00353560" w:rsidP="00DC15C2">
            <w:pPr>
              <w:pStyle w:val="RSCT03TableBody"/>
              <w:spacing w:line="240" w:lineRule="auto"/>
              <w:rPr>
                <w:sz w:val="15"/>
                <w:szCs w:val="15"/>
              </w:rPr>
            </w:pPr>
            <w:r w:rsidRPr="00DC15C2">
              <w:rPr>
                <w:sz w:val="15"/>
                <w:szCs w:val="15"/>
              </w:rPr>
              <w:t>70.3</w:t>
            </w:r>
          </w:p>
        </w:tc>
        <w:tc>
          <w:tcPr>
            <w:tcW w:w="860" w:type="pct"/>
            <w:tcBorders>
              <w:top w:val="single" w:sz="4" w:space="0" w:color="auto"/>
            </w:tcBorders>
            <w:shd w:val="clear" w:color="auto" w:fill="auto"/>
            <w:vAlign w:val="center"/>
          </w:tcPr>
          <w:p w14:paraId="75F29DA2" w14:textId="77777777" w:rsidR="00353560" w:rsidRPr="00DC15C2" w:rsidRDefault="00353560" w:rsidP="00DC15C2">
            <w:pPr>
              <w:pStyle w:val="RSCT03TableBody"/>
              <w:spacing w:line="240" w:lineRule="auto"/>
              <w:rPr>
                <w:sz w:val="15"/>
                <w:szCs w:val="15"/>
              </w:rPr>
            </w:pPr>
            <w:r w:rsidRPr="00DC15C2">
              <w:rPr>
                <w:sz w:val="15"/>
                <w:szCs w:val="15"/>
              </w:rPr>
              <w:t>80.3</w:t>
            </w:r>
          </w:p>
        </w:tc>
      </w:tr>
      <w:tr w:rsidR="00353560" w:rsidRPr="00353560" w14:paraId="0174D498" w14:textId="77777777" w:rsidTr="00DC15C2">
        <w:trPr>
          <w:trHeight w:val="20"/>
        </w:trPr>
        <w:tc>
          <w:tcPr>
            <w:tcW w:w="397" w:type="pct"/>
            <w:shd w:val="clear" w:color="auto" w:fill="auto"/>
            <w:vAlign w:val="center"/>
          </w:tcPr>
          <w:p w14:paraId="5DD1AC17" w14:textId="77777777" w:rsidR="00353560" w:rsidRPr="00DC15C2" w:rsidRDefault="00353560" w:rsidP="00DC15C2">
            <w:pPr>
              <w:pStyle w:val="RSCT03TableBody"/>
              <w:spacing w:line="240" w:lineRule="auto"/>
              <w:rPr>
                <w:sz w:val="15"/>
                <w:szCs w:val="15"/>
              </w:rPr>
            </w:pPr>
            <w:r w:rsidRPr="00DC15C2">
              <w:rPr>
                <w:sz w:val="15"/>
                <w:szCs w:val="15"/>
              </w:rPr>
              <w:t>2.</w:t>
            </w:r>
          </w:p>
        </w:tc>
        <w:tc>
          <w:tcPr>
            <w:tcW w:w="975" w:type="pct"/>
            <w:shd w:val="clear" w:color="auto" w:fill="auto"/>
            <w:vAlign w:val="center"/>
          </w:tcPr>
          <w:p w14:paraId="4FC3C559" w14:textId="6382D6E6" w:rsidR="00353560" w:rsidRPr="00DC15C2" w:rsidRDefault="00353560" w:rsidP="00DC15C2">
            <w:pPr>
              <w:pStyle w:val="RSCT03TableBody"/>
              <w:spacing w:line="240" w:lineRule="auto"/>
              <w:rPr>
                <w:sz w:val="15"/>
                <w:szCs w:val="15"/>
              </w:rPr>
            </w:pPr>
            <w:r w:rsidRPr="00DC15C2">
              <w:rPr>
                <w:sz w:val="15"/>
                <w:szCs w:val="15"/>
              </w:rPr>
              <w:t>Al-SIL</w:t>
            </w:r>
          </w:p>
        </w:tc>
        <w:tc>
          <w:tcPr>
            <w:tcW w:w="583" w:type="pct"/>
          </w:tcPr>
          <w:p w14:paraId="3AFD542E" w14:textId="7AEC8BF7" w:rsidR="00353560" w:rsidRPr="00353560" w:rsidRDefault="00353560" w:rsidP="004A7009">
            <w:pPr>
              <w:pStyle w:val="RSCT03TableBody"/>
              <w:spacing w:line="240" w:lineRule="auto"/>
              <w:rPr>
                <w:sz w:val="15"/>
                <w:szCs w:val="15"/>
              </w:rPr>
            </w:pPr>
            <w:r w:rsidRPr="00492460">
              <w:rPr>
                <w:sz w:val="15"/>
                <w:szCs w:val="15"/>
              </w:rPr>
              <w:t>0.33</w:t>
            </w:r>
          </w:p>
        </w:tc>
        <w:tc>
          <w:tcPr>
            <w:tcW w:w="718" w:type="pct"/>
            <w:shd w:val="clear" w:color="auto" w:fill="auto"/>
            <w:vAlign w:val="center"/>
          </w:tcPr>
          <w:p w14:paraId="2476BCC1" w14:textId="2E16C7D7" w:rsidR="00353560" w:rsidRPr="00DC15C2" w:rsidRDefault="00353560" w:rsidP="00DC15C2">
            <w:pPr>
              <w:pStyle w:val="RSCT03TableBody"/>
              <w:spacing w:line="240" w:lineRule="auto"/>
              <w:rPr>
                <w:sz w:val="15"/>
                <w:szCs w:val="15"/>
              </w:rPr>
            </w:pPr>
            <w:r w:rsidRPr="00DC15C2">
              <w:rPr>
                <w:sz w:val="15"/>
                <w:szCs w:val="15"/>
              </w:rPr>
              <w:t>2</w:t>
            </w:r>
          </w:p>
        </w:tc>
        <w:tc>
          <w:tcPr>
            <w:tcW w:w="550" w:type="pct"/>
            <w:shd w:val="clear" w:color="auto" w:fill="auto"/>
            <w:vAlign w:val="center"/>
          </w:tcPr>
          <w:p w14:paraId="7A33EE49" w14:textId="77777777" w:rsidR="00353560" w:rsidRPr="00DC15C2" w:rsidRDefault="00353560" w:rsidP="00DC15C2">
            <w:pPr>
              <w:pStyle w:val="RSCT03TableBody"/>
              <w:spacing w:line="240" w:lineRule="auto"/>
              <w:rPr>
                <w:sz w:val="15"/>
                <w:szCs w:val="15"/>
              </w:rPr>
            </w:pPr>
            <w:r w:rsidRPr="00DC15C2">
              <w:rPr>
                <w:sz w:val="15"/>
                <w:szCs w:val="15"/>
              </w:rPr>
              <w:t>240</w:t>
            </w:r>
          </w:p>
        </w:tc>
        <w:tc>
          <w:tcPr>
            <w:tcW w:w="917" w:type="pct"/>
            <w:shd w:val="clear" w:color="auto" w:fill="auto"/>
            <w:vAlign w:val="center"/>
          </w:tcPr>
          <w:p w14:paraId="35494CDF" w14:textId="77777777" w:rsidR="00353560" w:rsidRPr="00DC15C2" w:rsidRDefault="00353560" w:rsidP="00DC15C2">
            <w:pPr>
              <w:pStyle w:val="RSCT03TableBody"/>
              <w:spacing w:line="240" w:lineRule="auto"/>
              <w:rPr>
                <w:sz w:val="15"/>
                <w:szCs w:val="15"/>
              </w:rPr>
            </w:pPr>
            <w:r w:rsidRPr="00DC15C2">
              <w:rPr>
                <w:sz w:val="15"/>
                <w:szCs w:val="15"/>
              </w:rPr>
              <w:t>99.2</w:t>
            </w:r>
          </w:p>
        </w:tc>
        <w:tc>
          <w:tcPr>
            <w:tcW w:w="860" w:type="pct"/>
            <w:shd w:val="clear" w:color="auto" w:fill="auto"/>
            <w:vAlign w:val="center"/>
          </w:tcPr>
          <w:p w14:paraId="5816E5A5" w14:textId="77777777" w:rsidR="00353560" w:rsidRPr="00DC15C2" w:rsidRDefault="00353560" w:rsidP="00DC15C2">
            <w:pPr>
              <w:pStyle w:val="RSCT03TableBody"/>
              <w:spacing w:line="240" w:lineRule="auto"/>
              <w:rPr>
                <w:sz w:val="15"/>
                <w:szCs w:val="15"/>
              </w:rPr>
            </w:pPr>
            <w:r w:rsidRPr="00DC15C2">
              <w:rPr>
                <w:sz w:val="15"/>
                <w:szCs w:val="15"/>
              </w:rPr>
              <w:t>80.3</w:t>
            </w:r>
          </w:p>
        </w:tc>
      </w:tr>
      <w:tr w:rsidR="00353560" w:rsidRPr="00353560" w14:paraId="47EB2AE9" w14:textId="77777777" w:rsidTr="00DC15C2">
        <w:trPr>
          <w:trHeight w:val="20"/>
        </w:trPr>
        <w:tc>
          <w:tcPr>
            <w:tcW w:w="397" w:type="pct"/>
            <w:shd w:val="clear" w:color="auto" w:fill="auto"/>
            <w:vAlign w:val="center"/>
          </w:tcPr>
          <w:p w14:paraId="7A0C830A" w14:textId="77777777" w:rsidR="00353560" w:rsidRPr="00DC15C2" w:rsidRDefault="00353560" w:rsidP="00DC15C2">
            <w:pPr>
              <w:pStyle w:val="RSCT03TableBody"/>
              <w:spacing w:line="240" w:lineRule="auto"/>
              <w:rPr>
                <w:sz w:val="15"/>
                <w:szCs w:val="15"/>
              </w:rPr>
            </w:pPr>
            <w:r w:rsidRPr="00DC15C2">
              <w:rPr>
                <w:sz w:val="15"/>
                <w:szCs w:val="15"/>
              </w:rPr>
              <w:t>3.</w:t>
            </w:r>
          </w:p>
        </w:tc>
        <w:tc>
          <w:tcPr>
            <w:tcW w:w="975" w:type="pct"/>
            <w:shd w:val="clear" w:color="auto" w:fill="auto"/>
            <w:vAlign w:val="center"/>
          </w:tcPr>
          <w:p w14:paraId="4D0BFCD6" w14:textId="1C980C3A" w:rsidR="00353560" w:rsidRPr="00DC15C2" w:rsidRDefault="00353560" w:rsidP="00DC15C2">
            <w:pPr>
              <w:pStyle w:val="RSCT03TableBody"/>
              <w:spacing w:line="240" w:lineRule="auto"/>
              <w:rPr>
                <w:sz w:val="15"/>
                <w:szCs w:val="15"/>
              </w:rPr>
            </w:pPr>
            <w:r w:rsidRPr="00DC15C2">
              <w:rPr>
                <w:sz w:val="15"/>
                <w:szCs w:val="15"/>
              </w:rPr>
              <w:t xml:space="preserve">Al-SIL </w:t>
            </w:r>
          </w:p>
        </w:tc>
        <w:tc>
          <w:tcPr>
            <w:tcW w:w="583" w:type="pct"/>
          </w:tcPr>
          <w:p w14:paraId="60C0CBAC" w14:textId="778F9350" w:rsidR="00353560" w:rsidRPr="00353560" w:rsidRDefault="00353560" w:rsidP="004A7009">
            <w:pPr>
              <w:pStyle w:val="RSCT03TableBody"/>
              <w:spacing w:line="240" w:lineRule="auto"/>
              <w:rPr>
                <w:sz w:val="15"/>
                <w:szCs w:val="15"/>
              </w:rPr>
            </w:pPr>
            <w:r w:rsidRPr="00DA3EBD">
              <w:rPr>
                <w:sz w:val="15"/>
                <w:szCs w:val="15"/>
              </w:rPr>
              <w:t>0.33</w:t>
            </w:r>
          </w:p>
        </w:tc>
        <w:tc>
          <w:tcPr>
            <w:tcW w:w="718" w:type="pct"/>
            <w:shd w:val="clear" w:color="auto" w:fill="auto"/>
            <w:vAlign w:val="center"/>
          </w:tcPr>
          <w:p w14:paraId="5FEF79D4" w14:textId="239330B8" w:rsidR="00353560" w:rsidRPr="00DC15C2" w:rsidRDefault="00353560" w:rsidP="00DC15C2">
            <w:pPr>
              <w:pStyle w:val="RSCT03TableBody"/>
              <w:spacing w:line="240" w:lineRule="auto"/>
              <w:rPr>
                <w:sz w:val="15"/>
                <w:szCs w:val="15"/>
              </w:rPr>
            </w:pPr>
            <w:r w:rsidRPr="00DC15C2">
              <w:rPr>
                <w:sz w:val="15"/>
                <w:szCs w:val="15"/>
              </w:rPr>
              <w:t>5</w:t>
            </w:r>
          </w:p>
        </w:tc>
        <w:tc>
          <w:tcPr>
            <w:tcW w:w="550" w:type="pct"/>
            <w:shd w:val="clear" w:color="auto" w:fill="auto"/>
            <w:vAlign w:val="center"/>
          </w:tcPr>
          <w:p w14:paraId="01219CED" w14:textId="77777777" w:rsidR="00353560" w:rsidRPr="00DC15C2" w:rsidRDefault="00353560" w:rsidP="00DC15C2">
            <w:pPr>
              <w:pStyle w:val="RSCT03TableBody"/>
              <w:spacing w:line="240" w:lineRule="auto"/>
              <w:rPr>
                <w:sz w:val="15"/>
                <w:szCs w:val="15"/>
              </w:rPr>
            </w:pPr>
            <w:r w:rsidRPr="00DC15C2">
              <w:rPr>
                <w:sz w:val="15"/>
                <w:szCs w:val="15"/>
              </w:rPr>
              <w:t>180</w:t>
            </w:r>
          </w:p>
        </w:tc>
        <w:tc>
          <w:tcPr>
            <w:tcW w:w="917" w:type="pct"/>
            <w:shd w:val="clear" w:color="auto" w:fill="auto"/>
            <w:vAlign w:val="center"/>
          </w:tcPr>
          <w:p w14:paraId="018DDA96" w14:textId="77777777" w:rsidR="00353560" w:rsidRPr="00DC15C2" w:rsidRDefault="00353560" w:rsidP="00DC15C2">
            <w:pPr>
              <w:pStyle w:val="RSCT03TableBody"/>
              <w:spacing w:line="240" w:lineRule="auto"/>
              <w:rPr>
                <w:sz w:val="15"/>
                <w:szCs w:val="15"/>
              </w:rPr>
            </w:pPr>
            <w:r w:rsidRPr="00DC15C2">
              <w:rPr>
                <w:sz w:val="15"/>
                <w:szCs w:val="15"/>
              </w:rPr>
              <w:t>100.0</w:t>
            </w:r>
          </w:p>
        </w:tc>
        <w:tc>
          <w:tcPr>
            <w:tcW w:w="860" w:type="pct"/>
            <w:shd w:val="clear" w:color="auto" w:fill="auto"/>
            <w:vAlign w:val="center"/>
          </w:tcPr>
          <w:p w14:paraId="3A075F98" w14:textId="77777777" w:rsidR="00353560" w:rsidRPr="00DC15C2" w:rsidRDefault="00353560" w:rsidP="00DC15C2">
            <w:pPr>
              <w:pStyle w:val="RSCT03TableBody"/>
              <w:spacing w:line="240" w:lineRule="auto"/>
              <w:rPr>
                <w:sz w:val="15"/>
                <w:szCs w:val="15"/>
              </w:rPr>
            </w:pPr>
            <w:r w:rsidRPr="00DC15C2">
              <w:rPr>
                <w:sz w:val="15"/>
                <w:szCs w:val="15"/>
              </w:rPr>
              <w:t>90.7</w:t>
            </w:r>
          </w:p>
        </w:tc>
      </w:tr>
      <w:tr w:rsidR="00353560" w:rsidRPr="00353560" w14:paraId="79E952F5" w14:textId="77777777" w:rsidTr="00DC15C2">
        <w:trPr>
          <w:trHeight w:val="20"/>
        </w:trPr>
        <w:tc>
          <w:tcPr>
            <w:tcW w:w="397" w:type="pct"/>
            <w:tcBorders>
              <w:bottom w:val="single" w:sz="4" w:space="0" w:color="auto"/>
            </w:tcBorders>
            <w:shd w:val="clear" w:color="auto" w:fill="auto"/>
            <w:vAlign w:val="center"/>
          </w:tcPr>
          <w:p w14:paraId="23DA1253" w14:textId="77777777" w:rsidR="00353560" w:rsidRPr="00DC15C2" w:rsidRDefault="00353560" w:rsidP="00DC15C2">
            <w:pPr>
              <w:pStyle w:val="RSCT03TableBody"/>
              <w:spacing w:line="240" w:lineRule="auto"/>
              <w:rPr>
                <w:sz w:val="15"/>
                <w:szCs w:val="15"/>
              </w:rPr>
            </w:pPr>
            <w:r w:rsidRPr="00DC15C2">
              <w:rPr>
                <w:sz w:val="15"/>
                <w:szCs w:val="15"/>
              </w:rPr>
              <w:t>4.</w:t>
            </w:r>
          </w:p>
        </w:tc>
        <w:tc>
          <w:tcPr>
            <w:tcW w:w="975" w:type="pct"/>
            <w:tcBorders>
              <w:bottom w:val="single" w:sz="4" w:space="0" w:color="auto"/>
            </w:tcBorders>
            <w:shd w:val="clear" w:color="auto" w:fill="auto"/>
            <w:vAlign w:val="center"/>
          </w:tcPr>
          <w:p w14:paraId="7FFDC048" w14:textId="75F5ECEE" w:rsidR="00353560" w:rsidRPr="00DC15C2" w:rsidRDefault="00353560" w:rsidP="00DC15C2">
            <w:pPr>
              <w:pStyle w:val="RSCT03TableBody"/>
              <w:spacing w:line="240" w:lineRule="auto"/>
              <w:rPr>
                <w:sz w:val="15"/>
                <w:szCs w:val="15"/>
              </w:rPr>
            </w:pPr>
            <w:r w:rsidRPr="00DC15C2">
              <w:rPr>
                <w:sz w:val="15"/>
                <w:szCs w:val="15"/>
              </w:rPr>
              <w:t xml:space="preserve">Al-SIL </w:t>
            </w:r>
          </w:p>
        </w:tc>
        <w:tc>
          <w:tcPr>
            <w:tcW w:w="583" w:type="pct"/>
            <w:tcBorders>
              <w:bottom w:val="single" w:sz="4" w:space="0" w:color="auto"/>
            </w:tcBorders>
          </w:tcPr>
          <w:p w14:paraId="79502018" w14:textId="65C802C8" w:rsidR="00353560" w:rsidRPr="00353560" w:rsidRDefault="00353560" w:rsidP="004A7009">
            <w:pPr>
              <w:pStyle w:val="RSCT03TableBody"/>
              <w:spacing w:line="240" w:lineRule="auto"/>
              <w:rPr>
                <w:sz w:val="15"/>
                <w:szCs w:val="15"/>
              </w:rPr>
            </w:pPr>
            <w:r w:rsidRPr="00DB6F3D">
              <w:rPr>
                <w:sz w:val="15"/>
                <w:szCs w:val="15"/>
              </w:rPr>
              <w:t>0.09</w:t>
            </w:r>
          </w:p>
        </w:tc>
        <w:tc>
          <w:tcPr>
            <w:tcW w:w="718" w:type="pct"/>
            <w:tcBorders>
              <w:bottom w:val="single" w:sz="4" w:space="0" w:color="auto"/>
            </w:tcBorders>
            <w:shd w:val="clear" w:color="auto" w:fill="auto"/>
            <w:vAlign w:val="center"/>
          </w:tcPr>
          <w:p w14:paraId="44C68AF5" w14:textId="5F52749A" w:rsidR="00353560" w:rsidRPr="00DC15C2" w:rsidRDefault="00353560" w:rsidP="00DC15C2">
            <w:pPr>
              <w:pStyle w:val="RSCT03TableBody"/>
              <w:spacing w:line="240" w:lineRule="auto"/>
              <w:rPr>
                <w:sz w:val="15"/>
                <w:szCs w:val="15"/>
              </w:rPr>
            </w:pPr>
            <w:r w:rsidRPr="00DC15C2">
              <w:rPr>
                <w:sz w:val="15"/>
                <w:szCs w:val="15"/>
              </w:rPr>
              <w:t>5</w:t>
            </w:r>
          </w:p>
        </w:tc>
        <w:tc>
          <w:tcPr>
            <w:tcW w:w="550" w:type="pct"/>
            <w:tcBorders>
              <w:bottom w:val="single" w:sz="4" w:space="0" w:color="auto"/>
            </w:tcBorders>
            <w:shd w:val="clear" w:color="auto" w:fill="auto"/>
            <w:vAlign w:val="center"/>
          </w:tcPr>
          <w:p w14:paraId="0FCDBC23" w14:textId="77777777" w:rsidR="00353560" w:rsidRPr="00DC15C2" w:rsidRDefault="00353560" w:rsidP="00DC15C2">
            <w:pPr>
              <w:pStyle w:val="RSCT03TableBody"/>
              <w:spacing w:line="240" w:lineRule="auto"/>
              <w:rPr>
                <w:sz w:val="15"/>
                <w:szCs w:val="15"/>
              </w:rPr>
            </w:pPr>
            <w:r w:rsidRPr="00DC15C2">
              <w:rPr>
                <w:sz w:val="15"/>
                <w:szCs w:val="15"/>
              </w:rPr>
              <w:t>240</w:t>
            </w:r>
          </w:p>
        </w:tc>
        <w:tc>
          <w:tcPr>
            <w:tcW w:w="917" w:type="pct"/>
            <w:tcBorders>
              <w:bottom w:val="single" w:sz="4" w:space="0" w:color="auto"/>
            </w:tcBorders>
            <w:shd w:val="clear" w:color="auto" w:fill="auto"/>
            <w:vAlign w:val="center"/>
          </w:tcPr>
          <w:p w14:paraId="62B74A1A" w14:textId="77777777" w:rsidR="00353560" w:rsidRPr="00DC15C2" w:rsidRDefault="00353560" w:rsidP="00DC15C2">
            <w:pPr>
              <w:pStyle w:val="RSCT03TableBody"/>
              <w:spacing w:line="240" w:lineRule="auto"/>
              <w:rPr>
                <w:sz w:val="15"/>
                <w:szCs w:val="15"/>
              </w:rPr>
            </w:pPr>
            <w:r w:rsidRPr="00DC15C2">
              <w:rPr>
                <w:sz w:val="15"/>
                <w:szCs w:val="15"/>
              </w:rPr>
              <w:t>64.0</w:t>
            </w:r>
          </w:p>
        </w:tc>
        <w:tc>
          <w:tcPr>
            <w:tcW w:w="860" w:type="pct"/>
            <w:tcBorders>
              <w:bottom w:val="single" w:sz="4" w:space="0" w:color="auto"/>
            </w:tcBorders>
            <w:shd w:val="clear" w:color="auto" w:fill="auto"/>
            <w:vAlign w:val="center"/>
          </w:tcPr>
          <w:p w14:paraId="2CA2BAE9" w14:textId="77777777" w:rsidR="00353560" w:rsidRPr="00DC15C2" w:rsidRDefault="00353560" w:rsidP="00DC15C2">
            <w:pPr>
              <w:pStyle w:val="RSCT03TableBody"/>
              <w:spacing w:line="240" w:lineRule="auto"/>
              <w:rPr>
                <w:sz w:val="15"/>
                <w:szCs w:val="15"/>
              </w:rPr>
            </w:pPr>
            <w:r w:rsidRPr="00DC15C2">
              <w:rPr>
                <w:sz w:val="15"/>
                <w:szCs w:val="15"/>
              </w:rPr>
              <w:t>70.9</w:t>
            </w:r>
          </w:p>
        </w:tc>
      </w:tr>
      <w:tr w:rsidR="00353560" w:rsidRPr="00353560" w14:paraId="7804B92E" w14:textId="77777777" w:rsidTr="00DC15C2">
        <w:trPr>
          <w:trHeight w:val="20"/>
        </w:trPr>
        <w:tc>
          <w:tcPr>
            <w:tcW w:w="397" w:type="pct"/>
            <w:tcBorders>
              <w:top w:val="single" w:sz="4" w:space="0" w:color="auto"/>
            </w:tcBorders>
            <w:shd w:val="clear" w:color="auto" w:fill="auto"/>
            <w:vAlign w:val="center"/>
          </w:tcPr>
          <w:p w14:paraId="07208ACD" w14:textId="77777777" w:rsidR="00353560" w:rsidRPr="00DC15C2" w:rsidRDefault="00353560" w:rsidP="00DC15C2">
            <w:pPr>
              <w:pStyle w:val="RSCT03TableBody"/>
              <w:spacing w:line="240" w:lineRule="auto"/>
              <w:rPr>
                <w:sz w:val="15"/>
                <w:szCs w:val="15"/>
              </w:rPr>
            </w:pPr>
            <w:r w:rsidRPr="00DC15C2">
              <w:rPr>
                <w:sz w:val="15"/>
                <w:szCs w:val="15"/>
              </w:rPr>
              <w:t>5.</w:t>
            </w:r>
          </w:p>
        </w:tc>
        <w:tc>
          <w:tcPr>
            <w:tcW w:w="975" w:type="pct"/>
            <w:tcBorders>
              <w:top w:val="single" w:sz="4" w:space="0" w:color="auto"/>
            </w:tcBorders>
            <w:shd w:val="clear" w:color="auto" w:fill="auto"/>
            <w:vAlign w:val="center"/>
          </w:tcPr>
          <w:p w14:paraId="06798F73" w14:textId="77777777" w:rsidR="00353560" w:rsidRPr="00DC15C2" w:rsidRDefault="00353560" w:rsidP="00DC15C2">
            <w:pPr>
              <w:pStyle w:val="RSCT03TableBody"/>
              <w:spacing w:line="240" w:lineRule="auto"/>
              <w:rPr>
                <w:sz w:val="15"/>
                <w:szCs w:val="15"/>
              </w:rPr>
            </w:pPr>
            <w:r w:rsidRPr="00DC15C2">
              <w:rPr>
                <w:sz w:val="15"/>
                <w:szCs w:val="15"/>
              </w:rPr>
              <w:t>Ga(</w:t>
            </w:r>
            <w:proofErr w:type="spellStart"/>
            <w:r w:rsidRPr="00DC15C2">
              <w:rPr>
                <w:sz w:val="15"/>
                <w:szCs w:val="15"/>
              </w:rPr>
              <w:t>OTf</w:t>
            </w:r>
            <w:proofErr w:type="spellEnd"/>
            <w:r w:rsidRPr="00DC15C2">
              <w:rPr>
                <w:sz w:val="15"/>
                <w:szCs w:val="15"/>
              </w:rPr>
              <w:t>)</w:t>
            </w:r>
            <w:r w:rsidRPr="00DC15C2">
              <w:rPr>
                <w:sz w:val="15"/>
                <w:szCs w:val="15"/>
                <w:vertAlign w:val="subscript"/>
              </w:rPr>
              <w:t>3</w:t>
            </w:r>
          </w:p>
        </w:tc>
        <w:tc>
          <w:tcPr>
            <w:tcW w:w="583" w:type="pct"/>
            <w:tcBorders>
              <w:top w:val="single" w:sz="4" w:space="0" w:color="auto"/>
            </w:tcBorders>
          </w:tcPr>
          <w:p w14:paraId="2B53E9E2" w14:textId="6A5293B9" w:rsidR="00353560" w:rsidRPr="00353560" w:rsidRDefault="00353560" w:rsidP="004A7009">
            <w:pPr>
              <w:pStyle w:val="RSCT03TableBody"/>
              <w:spacing w:line="240" w:lineRule="auto"/>
              <w:rPr>
                <w:sz w:val="15"/>
                <w:szCs w:val="15"/>
              </w:rPr>
            </w:pPr>
            <w:r>
              <w:rPr>
                <w:sz w:val="15"/>
                <w:szCs w:val="15"/>
              </w:rPr>
              <w:t>1.00</w:t>
            </w:r>
          </w:p>
        </w:tc>
        <w:tc>
          <w:tcPr>
            <w:tcW w:w="718" w:type="pct"/>
            <w:tcBorders>
              <w:top w:val="single" w:sz="4" w:space="0" w:color="auto"/>
            </w:tcBorders>
            <w:shd w:val="clear" w:color="auto" w:fill="auto"/>
            <w:vAlign w:val="center"/>
          </w:tcPr>
          <w:p w14:paraId="0080F25E" w14:textId="11EC24FE" w:rsidR="00353560" w:rsidRPr="00DC15C2" w:rsidRDefault="00353560" w:rsidP="00DC15C2">
            <w:pPr>
              <w:pStyle w:val="RSCT03TableBody"/>
              <w:spacing w:line="240" w:lineRule="auto"/>
              <w:rPr>
                <w:sz w:val="15"/>
                <w:szCs w:val="15"/>
              </w:rPr>
            </w:pPr>
            <w:r w:rsidRPr="00DC15C2">
              <w:rPr>
                <w:sz w:val="15"/>
                <w:szCs w:val="15"/>
              </w:rPr>
              <w:t>2</w:t>
            </w:r>
          </w:p>
        </w:tc>
        <w:tc>
          <w:tcPr>
            <w:tcW w:w="550" w:type="pct"/>
            <w:tcBorders>
              <w:top w:val="single" w:sz="4" w:space="0" w:color="auto"/>
            </w:tcBorders>
            <w:shd w:val="clear" w:color="auto" w:fill="auto"/>
            <w:vAlign w:val="center"/>
          </w:tcPr>
          <w:p w14:paraId="6DDEAD7A" w14:textId="77777777" w:rsidR="00353560" w:rsidRPr="00DC15C2" w:rsidRDefault="00353560" w:rsidP="00DC15C2">
            <w:pPr>
              <w:pStyle w:val="RSCT03TableBody"/>
              <w:spacing w:line="240" w:lineRule="auto"/>
              <w:rPr>
                <w:sz w:val="15"/>
                <w:szCs w:val="15"/>
              </w:rPr>
            </w:pPr>
            <w:r w:rsidRPr="00DC15C2">
              <w:rPr>
                <w:sz w:val="15"/>
                <w:szCs w:val="15"/>
              </w:rPr>
              <w:t>240</w:t>
            </w:r>
          </w:p>
        </w:tc>
        <w:tc>
          <w:tcPr>
            <w:tcW w:w="917" w:type="pct"/>
            <w:tcBorders>
              <w:top w:val="single" w:sz="4" w:space="0" w:color="auto"/>
            </w:tcBorders>
            <w:shd w:val="clear" w:color="auto" w:fill="auto"/>
            <w:vAlign w:val="center"/>
          </w:tcPr>
          <w:p w14:paraId="12B21D68" w14:textId="77777777" w:rsidR="00353560" w:rsidRPr="00DC15C2" w:rsidRDefault="00353560" w:rsidP="00DC15C2">
            <w:pPr>
              <w:pStyle w:val="RSCT03TableBody"/>
              <w:spacing w:line="240" w:lineRule="auto"/>
              <w:rPr>
                <w:sz w:val="15"/>
                <w:szCs w:val="15"/>
              </w:rPr>
            </w:pPr>
            <w:r w:rsidRPr="00DC15C2">
              <w:rPr>
                <w:sz w:val="15"/>
                <w:szCs w:val="15"/>
              </w:rPr>
              <w:t>91.4</w:t>
            </w:r>
          </w:p>
        </w:tc>
        <w:tc>
          <w:tcPr>
            <w:tcW w:w="860" w:type="pct"/>
            <w:tcBorders>
              <w:top w:val="single" w:sz="4" w:space="0" w:color="auto"/>
            </w:tcBorders>
            <w:shd w:val="clear" w:color="auto" w:fill="auto"/>
            <w:vAlign w:val="center"/>
          </w:tcPr>
          <w:p w14:paraId="561ED601" w14:textId="77777777" w:rsidR="00353560" w:rsidRPr="00DC15C2" w:rsidRDefault="00353560" w:rsidP="00DC15C2">
            <w:pPr>
              <w:pStyle w:val="RSCT03TableBody"/>
              <w:spacing w:line="240" w:lineRule="auto"/>
              <w:rPr>
                <w:sz w:val="15"/>
                <w:szCs w:val="15"/>
              </w:rPr>
            </w:pPr>
            <w:r w:rsidRPr="00DC15C2">
              <w:rPr>
                <w:sz w:val="15"/>
                <w:szCs w:val="15"/>
              </w:rPr>
              <w:t>83.2</w:t>
            </w:r>
          </w:p>
        </w:tc>
      </w:tr>
      <w:tr w:rsidR="00353560" w:rsidRPr="00353560" w14:paraId="3A51D4BB" w14:textId="77777777" w:rsidTr="00DC15C2">
        <w:trPr>
          <w:trHeight w:val="20"/>
        </w:trPr>
        <w:tc>
          <w:tcPr>
            <w:tcW w:w="397" w:type="pct"/>
            <w:shd w:val="clear" w:color="auto" w:fill="auto"/>
            <w:vAlign w:val="center"/>
          </w:tcPr>
          <w:p w14:paraId="68410B3A" w14:textId="77777777" w:rsidR="00353560" w:rsidRPr="00DC15C2" w:rsidRDefault="00353560" w:rsidP="00DC15C2">
            <w:pPr>
              <w:pStyle w:val="RSCT03TableBody"/>
              <w:spacing w:line="240" w:lineRule="auto"/>
              <w:rPr>
                <w:sz w:val="15"/>
                <w:szCs w:val="15"/>
              </w:rPr>
            </w:pPr>
            <w:r w:rsidRPr="00DC15C2">
              <w:rPr>
                <w:sz w:val="15"/>
                <w:szCs w:val="15"/>
              </w:rPr>
              <w:t>6.</w:t>
            </w:r>
          </w:p>
        </w:tc>
        <w:tc>
          <w:tcPr>
            <w:tcW w:w="975" w:type="pct"/>
            <w:shd w:val="clear" w:color="auto" w:fill="auto"/>
            <w:vAlign w:val="center"/>
          </w:tcPr>
          <w:p w14:paraId="2258911B" w14:textId="5B2A1930" w:rsidR="00353560" w:rsidRPr="00DC15C2" w:rsidRDefault="00353560" w:rsidP="00DC15C2">
            <w:pPr>
              <w:pStyle w:val="RSCT03TableBody"/>
              <w:spacing w:line="240" w:lineRule="auto"/>
              <w:rPr>
                <w:sz w:val="15"/>
                <w:szCs w:val="15"/>
              </w:rPr>
            </w:pPr>
            <w:r w:rsidRPr="00DC15C2">
              <w:rPr>
                <w:sz w:val="15"/>
                <w:szCs w:val="15"/>
              </w:rPr>
              <w:t>Ga-SIL</w:t>
            </w:r>
          </w:p>
        </w:tc>
        <w:tc>
          <w:tcPr>
            <w:tcW w:w="583" w:type="pct"/>
          </w:tcPr>
          <w:p w14:paraId="37C1CC2A" w14:textId="11511A6A" w:rsidR="00353560" w:rsidRPr="00353560" w:rsidRDefault="00353560" w:rsidP="004A7009">
            <w:pPr>
              <w:pStyle w:val="RSCT03TableBody"/>
              <w:spacing w:line="240" w:lineRule="auto"/>
              <w:rPr>
                <w:sz w:val="15"/>
                <w:szCs w:val="15"/>
              </w:rPr>
            </w:pPr>
            <w:r w:rsidRPr="004856A0">
              <w:rPr>
                <w:sz w:val="15"/>
                <w:szCs w:val="15"/>
              </w:rPr>
              <w:t>0.33</w:t>
            </w:r>
          </w:p>
        </w:tc>
        <w:tc>
          <w:tcPr>
            <w:tcW w:w="718" w:type="pct"/>
            <w:shd w:val="clear" w:color="auto" w:fill="auto"/>
            <w:vAlign w:val="center"/>
          </w:tcPr>
          <w:p w14:paraId="3AC374E7" w14:textId="4D405320" w:rsidR="00353560" w:rsidRPr="00DC15C2" w:rsidRDefault="00353560" w:rsidP="00DC15C2">
            <w:pPr>
              <w:pStyle w:val="RSCT03TableBody"/>
              <w:spacing w:line="240" w:lineRule="auto"/>
              <w:rPr>
                <w:sz w:val="15"/>
                <w:szCs w:val="15"/>
              </w:rPr>
            </w:pPr>
            <w:r w:rsidRPr="00DC15C2">
              <w:rPr>
                <w:sz w:val="15"/>
                <w:szCs w:val="15"/>
              </w:rPr>
              <w:t>2</w:t>
            </w:r>
          </w:p>
        </w:tc>
        <w:tc>
          <w:tcPr>
            <w:tcW w:w="550" w:type="pct"/>
            <w:shd w:val="clear" w:color="auto" w:fill="auto"/>
            <w:vAlign w:val="center"/>
          </w:tcPr>
          <w:p w14:paraId="77688F51" w14:textId="77777777" w:rsidR="00353560" w:rsidRPr="00DC15C2" w:rsidRDefault="00353560" w:rsidP="00DC15C2">
            <w:pPr>
              <w:pStyle w:val="RSCT03TableBody"/>
              <w:spacing w:line="240" w:lineRule="auto"/>
              <w:rPr>
                <w:sz w:val="15"/>
                <w:szCs w:val="15"/>
              </w:rPr>
            </w:pPr>
            <w:r w:rsidRPr="00DC15C2">
              <w:rPr>
                <w:sz w:val="15"/>
                <w:szCs w:val="15"/>
              </w:rPr>
              <w:t>120</w:t>
            </w:r>
          </w:p>
        </w:tc>
        <w:tc>
          <w:tcPr>
            <w:tcW w:w="917" w:type="pct"/>
            <w:shd w:val="clear" w:color="auto" w:fill="auto"/>
            <w:vAlign w:val="center"/>
          </w:tcPr>
          <w:p w14:paraId="014F089F" w14:textId="77777777" w:rsidR="00353560" w:rsidRPr="00DC15C2" w:rsidRDefault="00353560" w:rsidP="00DC15C2">
            <w:pPr>
              <w:pStyle w:val="RSCT03TableBody"/>
              <w:spacing w:line="240" w:lineRule="auto"/>
              <w:rPr>
                <w:sz w:val="15"/>
                <w:szCs w:val="15"/>
              </w:rPr>
            </w:pPr>
            <w:r w:rsidRPr="00DC15C2">
              <w:rPr>
                <w:sz w:val="15"/>
                <w:szCs w:val="15"/>
              </w:rPr>
              <w:t>100.0</w:t>
            </w:r>
          </w:p>
        </w:tc>
        <w:tc>
          <w:tcPr>
            <w:tcW w:w="860" w:type="pct"/>
            <w:shd w:val="clear" w:color="auto" w:fill="auto"/>
            <w:vAlign w:val="center"/>
          </w:tcPr>
          <w:p w14:paraId="500A6858" w14:textId="77777777" w:rsidR="00353560" w:rsidRPr="00DC15C2" w:rsidRDefault="00353560" w:rsidP="00DC15C2">
            <w:pPr>
              <w:pStyle w:val="RSCT03TableBody"/>
              <w:spacing w:line="240" w:lineRule="auto"/>
              <w:rPr>
                <w:sz w:val="15"/>
                <w:szCs w:val="15"/>
              </w:rPr>
            </w:pPr>
            <w:r w:rsidRPr="00DC15C2">
              <w:rPr>
                <w:sz w:val="15"/>
                <w:szCs w:val="15"/>
              </w:rPr>
              <w:t>82.8</w:t>
            </w:r>
          </w:p>
        </w:tc>
      </w:tr>
      <w:tr w:rsidR="00353560" w:rsidRPr="00353560" w14:paraId="67E3057B" w14:textId="77777777" w:rsidTr="00DC15C2">
        <w:trPr>
          <w:trHeight w:val="20"/>
        </w:trPr>
        <w:tc>
          <w:tcPr>
            <w:tcW w:w="397" w:type="pct"/>
            <w:shd w:val="clear" w:color="auto" w:fill="auto"/>
            <w:vAlign w:val="center"/>
          </w:tcPr>
          <w:p w14:paraId="705AEA4A" w14:textId="77777777" w:rsidR="00353560" w:rsidRPr="00DC15C2" w:rsidRDefault="00353560" w:rsidP="00DC15C2">
            <w:pPr>
              <w:pStyle w:val="RSCT03TableBody"/>
              <w:spacing w:line="240" w:lineRule="auto"/>
              <w:rPr>
                <w:sz w:val="15"/>
                <w:szCs w:val="15"/>
              </w:rPr>
            </w:pPr>
            <w:r w:rsidRPr="00DC15C2">
              <w:rPr>
                <w:sz w:val="15"/>
                <w:szCs w:val="15"/>
              </w:rPr>
              <w:t>7.</w:t>
            </w:r>
          </w:p>
        </w:tc>
        <w:tc>
          <w:tcPr>
            <w:tcW w:w="975" w:type="pct"/>
            <w:shd w:val="clear" w:color="auto" w:fill="auto"/>
            <w:vAlign w:val="center"/>
          </w:tcPr>
          <w:p w14:paraId="6ADB0959" w14:textId="323CE4BB" w:rsidR="00353560" w:rsidRPr="00DC15C2" w:rsidRDefault="00353560" w:rsidP="00DC15C2">
            <w:pPr>
              <w:pStyle w:val="RSCT03TableBody"/>
              <w:spacing w:line="240" w:lineRule="auto"/>
              <w:rPr>
                <w:sz w:val="15"/>
                <w:szCs w:val="15"/>
              </w:rPr>
            </w:pPr>
            <w:r w:rsidRPr="00DC15C2">
              <w:rPr>
                <w:sz w:val="15"/>
                <w:szCs w:val="15"/>
              </w:rPr>
              <w:t>Ga-SIL</w:t>
            </w:r>
          </w:p>
        </w:tc>
        <w:tc>
          <w:tcPr>
            <w:tcW w:w="583" w:type="pct"/>
          </w:tcPr>
          <w:p w14:paraId="57A149BE" w14:textId="799FF47D" w:rsidR="00353560" w:rsidRPr="00353560" w:rsidRDefault="00353560" w:rsidP="004A7009">
            <w:pPr>
              <w:pStyle w:val="RSCT03TableBody"/>
              <w:spacing w:line="240" w:lineRule="auto"/>
              <w:rPr>
                <w:sz w:val="15"/>
                <w:szCs w:val="15"/>
              </w:rPr>
            </w:pPr>
            <w:r w:rsidRPr="00B56A94">
              <w:rPr>
                <w:sz w:val="15"/>
                <w:szCs w:val="15"/>
              </w:rPr>
              <w:t>0.33</w:t>
            </w:r>
          </w:p>
        </w:tc>
        <w:tc>
          <w:tcPr>
            <w:tcW w:w="718" w:type="pct"/>
            <w:shd w:val="clear" w:color="auto" w:fill="auto"/>
            <w:vAlign w:val="center"/>
          </w:tcPr>
          <w:p w14:paraId="70028DE5" w14:textId="20C2436C" w:rsidR="00353560" w:rsidRPr="00DC15C2" w:rsidRDefault="00353560" w:rsidP="00DC15C2">
            <w:pPr>
              <w:pStyle w:val="RSCT03TableBody"/>
              <w:spacing w:line="240" w:lineRule="auto"/>
              <w:rPr>
                <w:sz w:val="15"/>
                <w:szCs w:val="15"/>
              </w:rPr>
            </w:pPr>
            <w:r w:rsidRPr="00DC15C2">
              <w:rPr>
                <w:sz w:val="15"/>
                <w:szCs w:val="15"/>
              </w:rPr>
              <w:t>5</w:t>
            </w:r>
          </w:p>
        </w:tc>
        <w:tc>
          <w:tcPr>
            <w:tcW w:w="550" w:type="pct"/>
            <w:shd w:val="clear" w:color="auto" w:fill="auto"/>
            <w:vAlign w:val="center"/>
          </w:tcPr>
          <w:p w14:paraId="2D0A800E" w14:textId="77777777" w:rsidR="00353560" w:rsidRPr="00DC15C2" w:rsidRDefault="00353560" w:rsidP="00DC15C2">
            <w:pPr>
              <w:pStyle w:val="RSCT03TableBody"/>
              <w:spacing w:line="240" w:lineRule="auto"/>
              <w:rPr>
                <w:sz w:val="15"/>
                <w:szCs w:val="15"/>
              </w:rPr>
            </w:pPr>
            <w:r w:rsidRPr="00DC15C2">
              <w:rPr>
                <w:sz w:val="15"/>
                <w:szCs w:val="15"/>
              </w:rPr>
              <w:t>120</w:t>
            </w:r>
          </w:p>
        </w:tc>
        <w:tc>
          <w:tcPr>
            <w:tcW w:w="917" w:type="pct"/>
            <w:shd w:val="clear" w:color="auto" w:fill="auto"/>
            <w:vAlign w:val="center"/>
          </w:tcPr>
          <w:p w14:paraId="06DF684A" w14:textId="77777777" w:rsidR="00353560" w:rsidRPr="00DC15C2" w:rsidRDefault="00353560" w:rsidP="00DC15C2">
            <w:pPr>
              <w:pStyle w:val="RSCT03TableBody"/>
              <w:spacing w:line="240" w:lineRule="auto"/>
              <w:rPr>
                <w:sz w:val="15"/>
                <w:szCs w:val="15"/>
              </w:rPr>
            </w:pPr>
            <w:r w:rsidRPr="00DC15C2">
              <w:rPr>
                <w:sz w:val="15"/>
                <w:szCs w:val="15"/>
              </w:rPr>
              <w:t>100.0</w:t>
            </w:r>
          </w:p>
        </w:tc>
        <w:tc>
          <w:tcPr>
            <w:tcW w:w="860" w:type="pct"/>
            <w:shd w:val="clear" w:color="auto" w:fill="auto"/>
            <w:vAlign w:val="center"/>
          </w:tcPr>
          <w:p w14:paraId="43B09222" w14:textId="77777777" w:rsidR="00353560" w:rsidRPr="00DC15C2" w:rsidRDefault="00353560" w:rsidP="00DC15C2">
            <w:pPr>
              <w:pStyle w:val="RSCT03TableBody"/>
              <w:spacing w:line="240" w:lineRule="auto"/>
              <w:rPr>
                <w:sz w:val="15"/>
                <w:szCs w:val="15"/>
              </w:rPr>
            </w:pPr>
            <w:r w:rsidRPr="00DC15C2">
              <w:rPr>
                <w:sz w:val="15"/>
                <w:szCs w:val="15"/>
              </w:rPr>
              <w:t>93.8</w:t>
            </w:r>
          </w:p>
        </w:tc>
      </w:tr>
      <w:tr w:rsidR="00353560" w:rsidRPr="00353560" w14:paraId="76EABB52" w14:textId="77777777" w:rsidTr="00DC15C2">
        <w:trPr>
          <w:trHeight w:val="20"/>
        </w:trPr>
        <w:tc>
          <w:tcPr>
            <w:tcW w:w="397" w:type="pct"/>
            <w:tcBorders>
              <w:bottom w:val="single" w:sz="4" w:space="0" w:color="auto"/>
            </w:tcBorders>
            <w:shd w:val="clear" w:color="auto" w:fill="auto"/>
            <w:vAlign w:val="center"/>
          </w:tcPr>
          <w:p w14:paraId="0B562571" w14:textId="77777777" w:rsidR="00353560" w:rsidRPr="00DC15C2" w:rsidRDefault="00353560" w:rsidP="00DC15C2">
            <w:pPr>
              <w:pStyle w:val="RSCT03TableBody"/>
              <w:spacing w:line="240" w:lineRule="auto"/>
              <w:rPr>
                <w:sz w:val="15"/>
                <w:szCs w:val="15"/>
              </w:rPr>
            </w:pPr>
            <w:r w:rsidRPr="00DC15C2">
              <w:rPr>
                <w:sz w:val="15"/>
                <w:szCs w:val="15"/>
              </w:rPr>
              <w:t>8.</w:t>
            </w:r>
          </w:p>
        </w:tc>
        <w:tc>
          <w:tcPr>
            <w:tcW w:w="975" w:type="pct"/>
            <w:tcBorders>
              <w:bottom w:val="single" w:sz="4" w:space="0" w:color="auto"/>
            </w:tcBorders>
            <w:shd w:val="clear" w:color="auto" w:fill="auto"/>
            <w:vAlign w:val="center"/>
          </w:tcPr>
          <w:p w14:paraId="02E706CB" w14:textId="74D1C5E9" w:rsidR="00353560" w:rsidRPr="00DC15C2" w:rsidRDefault="00353560" w:rsidP="00DC15C2">
            <w:pPr>
              <w:pStyle w:val="RSCT03TableBody"/>
              <w:spacing w:line="240" w:lineRule="auto"/>
              <w:rPr>
                <w:sz w:val="15"/>
                <w:szCs w:val="15"/>
              </w:rPr>
            </w:pPr>
            <w:r w:rsidRPr="00DC15C2">
              <w:rPr>
                <w:sz w:val="15"/>
                <w:szCs w:val="15"/>
              </w:rPr>
              <w:t>Ga-SIL</w:t>
            </w:r>
          </w:p>
        </w:tc>
        <w:tc>
          <w:tcPr>
            <w:tcW w:w="583" w:type="pct"/>
            <w:tcBorders>
              <w:bottom w:val="single" w:sz="4" w:space="0" w:color="auto"/>
            </w:tcBorders>
          </w:tcPr>
          <w:p w14:paraId="76ACBF5F" w14:textId="0C03B412" w:rsidR="00353560" w:rsidRPr="00353560" w:rsidRDefault="00353560" w:rsidP="004A7009">
            <w:pPr>
              <w:pStyle w:val="RSCT03TableBody"/>
              <w:spacing w:line="240" w:lineRule="auto"/>
              <w:rPr>
                <w:sz w:val="15"/>
                <w:szCs w:val="15"/>
              </w:rPr>
            </w:pPr>
            <w:r w:rsidRPr="00DE2E53">
              <w:rPr>
                <w:sz w:val="15"/>
                <w:szCs w:val="15"/>
              </w:rPr>
              <w:t>0.09</w:t>
            </w:r>
          </w:p>
        </w:tc>
        <w:tc>
          <w:tcPr>
            <w:tcW w:w="718" w:type="pct"/>
            <w:tcBorders>
              <w:bottom w:val="single" w:sz="4" w:space="0" w:color="auto"/>
            </w:tcBorders>
            <w:shd w:val="clear" w:color="auto" w:fill="auto"/>
            <w:vAlign w:val="center"/>
          </w:tcPr>
          <w:p w14:paraId="73FC49B3" w14:textId="6196F11D" w:rsidR="00353560" w:rsidRPr="00DC15C2" w:rsidRDefault="00353560" w:rsidP="00DC15C2">
            <w:pPr>
              <w:pStyle w:val="RSCT03TableBody"/>
              <w:spacing w:line="240" w:lineRule="auto"/>
              <w:rPr>
                <w:sz w:val="15"/>
                <w:szCs w:val="15"/>
              </w:rPr>
            </w:pPr>
            <w:r w:rsidRPr="00DC15C2">
              <w:rPr>
                <w:sz w:val="15"/>
                <w:szCs w:val="15"/>
              </w:rPr>
              <w:t>5</w:t>
            </w:r>
          </w:p>
        </w:tc>
        <w:tc>
          <w:tcPr>
            <w:tcW w:w="550" w:type="pct"/>
            <w:tcBorders>
              <w:bottom w:val="single" w:sz="4" w:space="0" w:color="auto"/>
            </w:tcBorders>
            <w:shd w:val="clear" w:color="auto" w:fill="auto"/>
            <w:vAlign w:val="center"/>
          </w:tcPr>
          <w:p w14:paraId="30A43B76" w14:textId="77777777" w:rsidR="00353560" w:rsidRPr="00DC15C2" w:rsidRDefault="00353560" w:rsidP="00DC15C2">
            <w:pPr>
              <w:pStyle w:val="RSCT03TableBody"/>
              <w:spacing w:line="240" w:lineRule="auto"/>
              <w:rPr>
                <w:sz w:val="15"/>
                <w:szCs w:val="15"/>
              </w:rPr>
            </w:pPr>
            <w:r w:rsidRPr="00DC15C2">
              <w:rPr>
                <w:sz w:val="15"/>
                <w:szCs w:val="15"/>
              </w:rPr>
              <w:t>240</w:t>
            </w:r>
          </w:p>
        </w:tc>
        <w:tc>
          <w:tcPr>
            <w:tcW w:w="917" w:type="pct"/>
            <w:tcBorders>
              <w:bottom w:val="single" w:sz="4" w:space="0" w:color="auto"/>
            </w:tcBorders>
            <w:shd w:val="clear" w:color="auto" w:fill="auto"/>
            <w:vAlign w:val="center"/>
          </w:tcPr>
          <w:p w14:paraId="2789E9C5" w14:textId="77777777" w:rsidR="00353560" w:rsidRPr="00DC15C2" w:rsidRDefault="00353560" w:rsidP="00DC15C2">
            <w:pPr>
              <w:pStyle w:val="RSCT03TableBody"/>
              <w:spacing w:line="240" w:lineRule="auto"/>
              <w:rPr>
                <w:sz w:val="15"/>
                <w:szCs w:val="15"/>
              </w:rPr>
            </w:pPr>
            <w:r w:rsidRPr="00DC15C2">
              <w:rPr>
                <w:sz w:val="15"/>
                <w:szCs w:val="15"/>
              </w:rPr>
              <w:t>92.6</w:t>
            </w:r>
          </w:p>
        </w:tc>
        <w:tc>
          <w:tcPr>
            <w:tcW w:w="860" w:type="pct"/>
            <w:tcBorders>
              <w:bottom w:val="single" w:sz="4" w:space="0" w:color="auto"/>
            </w:tcBorders>
            <w:shd w:val="clear" w:color="auto" w:fill="auto"/>
            <w:vAlign w:val="center"/>
          </w:tcPr>
          <w:p w14:paraId="70DA047A" w14:textId="77777777" w:rsidR="00353560" w:rsidRPr="00DC15C2" w:rsidRDefault="00353560" w:rsidP="00DC15C2">
            <w:pPr>
              <w:pStyle w:val="RSCT03TableBody"/>
              <w:spacing w:line="240" w:lineRule="auto"/>
              <w:rPr>
                <w:sz w:val="15"/>
                <w:szCs w:val="15"/>
              </w:rPr>
            </w:pPr>
            <w:r w:rsidRPr="00DC15C2">
              <w:rPr>
                <w:sz w:val="15"/>
                <w:szCs w:val="15"/>
              </w:rPr>
              <w:t>84.3</w:t>
            </w:r>
          </w:p>
        </w:tc>
      </w:tr>
    </w:tbl>
    <w:p w14:paraId="2621347F" w14:textId="07F96AA7" w:rsidR="00821DC5" w:rsidRPr="00905DD7" w:rsidRDefault="00821DC5" w:rsidP="00821DC5">
      <w:pPr>
        <w:pStyle w:val="RSCT04TableFootnotewithbottombar"/>
      </w:pPr>
      <w:r w:rsidRPr="00905DD7">
        <w:t>Reaction conditions: 2,4-</w:t>
      </w:r>
      <w:r w:rsidRPr="00DC15C2">
        <w:t>dimethylphenol (</w:t>
      </w:r>
      <w:r w:rsidR="00A15970" w:rsidRPr="00DC15C2">
        <w:t>8</w:t>
      </w:r>
      <w:r w:rsidRPr="00DC15C2">
        <w:t xml:space="preserve"> mmol), isoprene (</w:t>
      </w:r>
      <w:r w:rsidR="00A15970" w:rsidRPr="00DC15C2">
        <w:t>4</w:t>
      </w:r>
      <w:r w:rsidRPr="00DC15C2">
        <w:t xml:space="preserve"> mmol</w:t>
      </w:r>
      <w:r w:rsidRPr="00905DD7">
        <w:t xml:space="preserve">), 1000 rpm, T = 35 °C, amount of catalyst calculated in relation to isoprene. </w:t>
      </w:r>
    </w:p>
    <w:p w14:paraId="5908E4AF" w14:textId="1A20B356" w:rsidR="00D33494" w:rsidRPr="00905DD7" w:rsidRDefault="00D33494" w:rsidP="00DC15C2">
      <w:pPr>
        <w:pStyle w:val="RSCB02ArticleText"/>
        <w:ind w:firstLine="284"/>
        <w:rPr>
          <w:lang w:val="en-GB"/>
        </w:rPr>
      </w:pPr>
      <w:r w:rsidRPr="00905DD7">
        <w:rPr>
          <w:lang w:val="en-GB"/>
        </w:rPr>
        <w:t>Recyclability of the best-performing SIL, Ga-SIL (</w:t>
      </w:r>
      <w:proofErr w:type="spellStart"/>
      <w:r w:rsidRPr="00905DD7">
        <w:rPr>
          <w:i/>
          <w:iCs/>
          <w:lang w:val="en-GB"/>
        </w:rPr>
        <w:t>χ</w:t>
      </w:r>
      <w:r w:rsidRPr="00905DD7">
        <w:rPr>
          <w:vertAlign w:val="subscript"/>
          <w:lang w:val="en-GB"/>
        </w:rPr>
        <w:t>Ga</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)3</w:t>
      </w:r>
      <w:r w:rsidRPr="00905DD7">
        <w:rPr>
          <w:lang w:val="en-GB"/>
        </w:rPr>
        <w:t xml:space="preserve"> = 0.33) was tested by extracting the residual substrate and product with anhydrous hexane, after which the phase-separated catalyst layer was </w:t>
      </w:r>
      <w:r w:rsidR="00977885">
        <w:rPr>
          <w:lang w:val="en-GB"/>
        </w:rPr>
        <w:t>isolated</w:t>
      </w:r>
      <w:r w:rsidRPr="00905DD7">
        <w:rPr>
          <w:lang w:val="en-GB"/>
        </w:rPr>
        <w:t>, washed twice with hexene, concentrated and used in the next reaction cycle. Full conversion of substrate was maintained over 4 consecutive reaction cycles, with selectivities above 90% (Table </w:t>
      </w:r>
      <w:r w:rsidR="0043276C" w:rsidRPr="00905DD7">
        <w:rPr>
          <w:lang w:val="en-GB"/>
        </w:rPr>
        <w:t>3</w:t>
      </w:r>
      <w:r w:rsidRPr="00905DD7">
        <w:rPr>
          <w:lang w:val="en-GB"/>
        </w:rPr>
        <w:t>).</w:t>
      </w:r>
    </w:p>
    <w:p w14:paraId="01D8F10E" w14:textId="72691C85" w:rsidR="00D33494" w:rsidRPr="00905DD7" w:rsidRDefault="00D33494" w:rsidP="00D33494">
      <w:pPr>
        <w:pStyle w:val="RSCT01TableTitlewithtopbar"/>
        <w:rPr>
          <w:vertAlign w:val="superscript"/>
        </w:rPr>
      </w:pPr>
      <w:r w:rsidRPr="00905DD7">
        <w:rPr>
          <w:b/>
        </w:rPr>
        <w:lastRenderedPageBreak/>
        <w:t xml:space="preserve">Table </w:t>
      </w:r>
      <w:r w:rsidR="0043276C" w:rsidRPr="00905DD7">
        <w:rPr>
          <w:b/>
        </w:rPr>
        <w:t>3</w:t>
      </w:r>
      <w:r w:rsidRPr="00905DD7">
        <w:rPr>
          <w:bCs/>
        </w:rPr>
        <w:t>.</w:t>
      </w:r>
      <w:r w:rsidRPr="00905DD7">
        <w:t xml:space="preserve"> Recycling of </w:t>
      </w:r>
      <w:bookmarkStart w:id="9" w:name="_Hlk151143274"/>
      <w:r w:rsidRPr="00905DD7">
        <w:t>Ga-SIL</w:t>
      </w:r>
      <w:r w:rsidRPr="00905DD7">
        <w:rPr>
          <w:vertAlign w:val="subscript"/>
        </w:rPr>
        <w:t xml:space="preserve"> </w:t>
      </w:r>
      <w:r w:rsidRPr="00905DD7">
        <w:t>(</w:t>
      </w:r>
      <w:proofErr w:type="spellStart"/>
      <w:r w:rsidRPr="00905DD7">
        <w:rPr>
          <w:i/>
          <w:iCs/>
        </w:rPr>
        <w:t>χ</w:t>
      </w:r>
      <w:r w:rsidRPr="00905DD7">
        <w:rPr>
          <w:vertAlign w:val="subscript"/>
        </w:rPr>
        <w:t>Ga</w:t>
      </w:r>
      <w:proofErr w:type="spellEnd"/>
      <w:r w:rsidRPr="00905DD7">
        <w:rPr>
          <w:vertAlign w:val="subscript"/>
        </w:rPr>
        <w:t>(</w:t>
      </w:r>
      <w:proofErr w:type="spellStart"/>
      <w:r w:rsidRPr="00905DD7">
        <w:rPr>
          <w:vertAlign w:val="subscript"/>
        </w:rPr>
        <w:t>OTf</w:t>
      </w:r>
      <w:proofErr w:type="spellEnd"/>
      <w:r w:rsidRPr="00905DD7">
        <w:rPr>
          <w:vertAlign w:val="subscript"/>
        </w:rPr>
        <w:t>)3</w:t>
      </w:r>
      <w:r w:rsidRPr="00905DD7">
        <w:rPr>
          <w:bCs/>
        </w:rPr>
        <w:t> = 0.33</w:t>
      </w:r>
      <w:bookmarkEnd w:id="9"/>
      <w:r w:rsidRPr="00905DD7">
        <w:rPr>
          <w:bCs/>
        </w:rPr>
        <w:t xml:space="preserve">) </w:t>
      </w:r>
      <w:r w:rsidRPr="00905DD7">
        <w:t>in</w:t>
      </w:r>
      <w:r w:rsidRPr="00905DD7">
        <w:rPr>
          <w:vertAlign w:val="subscript"/>
        </w:rPr>
        <w:t xml:space="preserve"> </w:t>
      </w:r>
      <w:r w:rsidRPr="00905DD7">
        <w:t>[3 + 3] cycloaddition of 2,4</w:t>
      </w:r>
      <w:r w:rsidRPr="00905DD7">
        <w:noBreakHyphen/>
        <w:t>dimethylphenol to isoprene.</w:t>
      </w:r>
    </w:p>
    <w:tbl>
      <w:tblPr>
        <w:tblW w:w="5000" w:type="pct"/>
        <w:tblLook w:val="01E0" w:firstRow="1" w:lastRow="1" w:firstColumn="1" w:lastColumn="1" w:noHBand="0" w:noVBand="0"/>
      </w:tblPr>
      <w:tblGrid>
        <w:gridCol w:w="1664"/>
        <w:gridCol w:w="1663"/>
        <w:gridCol w:w="1662"/>
      </w:tblGrid>
      <w:tr w:rsidR="00D33494" w:rsidRPr="00905DD7" w14:paraId="77FF3884" w14:textId="77777777" w:rsidTr="00DC15C2">
        <w:trPr>
          <w:trHeight w:val="20"/>
        </w:trPr>
        <w:tc>
          <w:tcPr>
            <w:tcW w:w="1667" w:type="pct"/>
            <w:tcBorders>
              <w:bottom w:val="single" w:sz="8" w:space="0" w:color="000000"/>
            </w:tcBorders>
            <w:vAlign w:val="center"/>
          </w:tcPr>
          <w:p w14:paraId="7AA44999" w14:textId="77777777" w:rsidR="00D33494" w:rsidRPr="00905DD7" w:rsidRDefault="00D33494" w:rsidP="00DC15C2">
            <w:pPr>
              <w:pStyle w:val="RSCT03TableBody"/>
              <w:spacing w:line="240" w:lineRule="auto"/>
              <w:rPr>
                <w:b/>
                <w:bCs/>
              </w:rPr>
            </w:pPr>
            <w:r w:rsidRPr="00905DD7">
              <w:rPr>
                <w:b/>
                <w:bCs/>
              </w:rPr>
              <w:t>Cycle no</w:t>
            </w:r>
          </w:p>
        </w:tc>
        <w:tc>
          <w:tcPr>
            <w:tcW w:w="1667" w:type="pct"/>
            <w:tcBorders>
              <w:bottom w:val="single" w:sz="8" w:space="0" w:color="000000"/>
            </w:tcBorders>
            <w:vAlign w:val="center"/>
          </w:tcPr>
          <w:p w14:paraId="0BA87689" w14:textId="77777777" w:rsidR="00D33494" w:rsidRPr="00905DD7" w:rsidRDefault="00D33494" w:rsidP="00DC15C2">
            <w:pPr>
              <w:pStyle w:val="RSCT03TableBody"/>
              <w:spacing w:line="240" w:lineRule="auto"/>
              <w:rPr>
                <w:b/>
                <w:bCs/>
              </w:rPr>
            </w:pPr>
            <w:r w:rsidRPr="00905DD7">
              <w:rPr>
                <w:b/>
                <w:bCs/>
              </w:rPr>
              <w:t>Conversion (%)</w:t>
            </w:r>
          </w:p>
        </w:tc>
        <w:tc>
          <w:tcPr>
            <w:tcW w:w="1667" w:type="pct"/>
            <w:tcBorders>
              <w:bottom w:val="single" w:sz="8" w:space="0" w:color="000000"/>
            </w:tcBorders>
            <w:vAlign w:val="center"/>
          </w:tcPr>
          <w:p w14:paraId="58D82B3A" w14:textId="77777777" w:rsidR="00D33494" w:rsidRPr="00905DD7" w:rsidRDefault="00D33494" w:rsidP="00DC15C2">
            <w:pPr>
              <w:pStyle w:val="RSCT03TableBody"/>
              <w:spacing w:line="240" w:lineRule="auto"/>
              <w:rPr>
                <w:b/>
                <w:bCs/>
              </w:rPr>
            </w:pPr>
            <w:r w:rsidRPr="00905DD7">
              <w:rPr>
                <w:b/>
                <w:bCs/>
              </w:rPr>
              <w:t>Selectivity (%)</w:t>
            </w:r>
          </w:p>
        </w:tc>
      </w:tr>
      <w:tr w:rsidR="00D33494" w:rsidRPr="00905DD7" w14:paraId="45ECBBC4" w14:textId="77777777" w:rsidTr="00DC15C2">
        <w:trPr>
          <w:trHeight w:val="20"/>
        </w:trPr>
        <w:tc>
          <w:tcPr>
            <w:tcW w:w="1667" w:type="pct"/>
            <w:tcBorders>
              <w:top w:val="single" w:sz="8" w:space="0" w:color="000000"/>
            </w:tcBorders>
            <w:vAlign w:val="center"/>
          </w:tcPr>
          <w:p w14:paraId="1528281A" w14:textId="77777777" w:rsidR="00D33494" w:rsidRPr="00DC15C2" w:rsidRDefault="00D33494" w:rsidP="00DC15C2">
            <w:pPr>
              <w:pStyle w:val="RSCT03TableBody"/>
              <w:spacing w:line="240" w:lineRule="auto"/>
              <w:rPr>
                <w:sz w:val="15"/>
                <w:szCs w:val="15"/>
              </w:rPr>
            </w:pPr>
            <w:r w:rsidRPr="00DC15C2">
              <w:rPr>
                <w:sz w:val="15"/>
                <w:szCs w:val="15"/>
              </w:rPr>
              <w:t>1</w:t>
            </w:r>
          </w:p>
        </w:tc>
        <w:tc>
          <w:tcPr>
            <w:tcW w:w="1667" w:type="pct"/>
            <w:tcBorders>
              <w:top w:val="single" w:sz="8" w:space="0" w:color="000000"/>
            </w:tcBorders>
            <w:vAlign w:val="center"/>
          </w:tcPr>
          <w:p w14:paraId="40972292" w14:textId="77777777" w:rsidR="00D33494" w:rsidRPr="00DC15C2" w:rsidRDefault="00D33494" w:rsidP="00DC15C2">
            <w:pPr>
              <w:pStyle w:val="RSCT03TableBody"/>
              <w:spacing w:line="240" w:lineRule="auto"/>
              <w:rPr>
                <w:sz w:val="15"/>
                <w:szCs w:val="15"/>
              </w:rPr>
            </w:pPr>
            <w:r w:rsidRPr="00DC15C2">
              <w:rPr>
                <w:sz w:val="15"/>
                <w:szCs w:val="15"/>
              </w:rPr>
              <w:t>100.0</w:t>
            </w:r>
          </w:p>
        </w:tc>
        <w:tc>
          <w:tcPr>
            <w:tcW w:w="1667" w:type="pct"/>
            <w:tcBorders>
              <w:top w:val="single" w:sz="8" w:space="0" w:color="000000"/>
            </w:tcBorders>
            <w:vAlign w:val="center"/>
          </w:tcPr>
          <w:p w14:paraId="01160C91" w14:textId="77777777" w:rsidR="00D33494" w:rsidRPr="00DC15C2" w:rsidRDefault="00D33494" w:rsidP="00DC15C2">
            <w:pPr>
              <w:pStyle w:val="RSCT03TableBody"/>
              <w:spacing w:line="240" w:lineRule="auto"/>
              <w:rPr>
                <w:sz w:val="15"/>
                <w:szCs w:val="15"/>
              </w:rPr>
            </w:pPr>
            <w:r w:rsidRPr="00DC15C2">
              <w:rPr>
                <w:sz w:val="15"/>
                <w:szCs w:val="15"/>
              </w:rPr>
              <w:t>93.8</w:t>
            </w:r>
          </w:p>
        </w:tc>
      </w:tr>
      <w:tr w:rsidR="00D33494" w:rsidRPr="00905DD7" w14:paraId="6BCECC09" w14:textId="77777777" w:rsidTr="00DC15C2">
        <w:trPr>
          <w:trHeight w:val="20"/>
        </w:trPr>
        <w:tc>
          <w:tcPr>
            <w:tcW w:w="1667" w:type="pct"/>
            <w:vAlign w:val="center"/>
          </w:tcPr>
          <w:p w14:paraId="25EC24AC" w14:textId="77777777" w:rsidR="00D33494" w:rsidRPr="00DC15C2" w:rsidRDefault="00D33494" w:rsidP="00DC15C2">
            <w:pPr>
              <w:pStyle w:val="RSCT03TableBody"/>
              <w:spacing w:line="240" w:lineRule="auto"/>
              <w:rPr>
                <w:sz w:val="15"/>
                <w:szCs w:val="15"/>
              </w:rPr>
            </w:pPr>
            <w:r w:rsidRPr="00DC15C2">
              <w:rPr>
                <w:sz w:val="15"/>
                <w:szCs w:val="15"/>
              </w:rPr>
              <w:t>2</w:t>
            </w:r>
          </w:p>
        </w:tc>
        <w:tc>
          <w:tcPr>
            <w:tcW w:w="1667" w:type="pct"/>
            <w:vAlign w:val="center"/>
          </w:tcPr>
          <w:p w14:paraId="6F47B0F3" w14:textId="77777777" w:rsidR="00D33494" w:rsidRPr="00DC15C2" w:rsidRDefault="00D33494" w:rsidP="00DC15C2">
            <w:pPr>
              <w:pStyle w:val="RSCT03TableBody"/>
              <w:spacing w:line="240" w:lineRule="auto"/>
              <w:rPr>
                <w:sz w:val="15"/>
                <w:szCs w:val="15"/>
              </w:rPr>
            </w:pPr>
            <w:r w:rsidRPr="00DC15C2">
              <w:rPr>
                <w:sz w:val="15"/>
                <w:szCs w:val="15"/>
              </w:rPr>
              <w:t>100.0</w:t>
            </w:r>
          </w:p>
        </w:tc>
        <w:tc>
          <w:tcPr>
            <w:tcW w:w="1667" w:type="pct"/>
            <w:vAlign w:val="center"/>
          </w:tcPr>
          <w:p w14:paraId="2C5C4BA5" w14:textId="77777777" w:rsidR="00D33494" w:rsidRPr="00DC15C2" w:rsidRDefault="00D33494" w:rsidP="00DC15C2">
            <w:pPr>
              <w:pStyle w:val="RSCT03TableBody"/>
              <w:spacing w:line="240" w:lineRule="auto"/>
              <w:rPr>
                <w:sz w:val="15"/>
                <w:szCs w:val="15"/>
              </w:rPr>
            </w:pPr>
            <w:r w:rsidRPr="00DC15C2">
              <w:rPr>
                <w:sz w:val="15"/>
                <w:szCs w:val="15"/>
              </w:rPr>
              <w:t>94.0</w:t>
            </w:r>
          </w:p>
        </w:tc>
      </w:tr>
      <w:tr w:rsidR="00D33494" w:rsidRPr="00905DD7" w14:paraId="037404A5" w14:textId="77777777" w:rsidTr="00DC15C2">
        <w:trPr>
          <w:trHeight w:val="20"/>
        </w:trPr>
        <w:tc>
          <w:tcPr>
            <w:tcW w:w="1667" w:type="pct"/>
            <w:vAlign w:val="center"/>
          </w:tcPr>
          <w:p w14:paraId="77765FF7" w14:textId="77777777" w:rsidR="00D33494" w:rsidRPr="00DC15C2" w:rsidRDefault="00D33494" w:rsidP="00DC15C2">
            <w:pPr>
              <w:pStyle w:val="RSCT03TableBody"/>
              <w:spacing w:line="240" w:lineRule="auto"/>
              <w:rPr>
                <w:sz w:val="15"/>
                <w:szCs w:val="15"/>
              </w:rPr>
            </w:pPr>
            <w:r w:rsidRPr="00DC15C2">
              <w:rPr>
                <w:sz w:val="15"/>
                <w:szCs w:val="15"/>
              </w:rPr>
              <w:t>3</w:t>
            </w:r>
          </w:p>
        </w:tc>
        <w:tc>
          <w:tcPr>
            <w:tcW w:w="1667" w:type="pct"/>
            <w:vAlign w:val="center"/>
          </w:tcPr>
          <w:p w14:paraId="134C79C0" w14:textId="77777777" w:rsidR="00D33494" w:rsidRPr="00DC15C2" w:rsidRDefault="00D33494" w:rsidP="00DC15C2">
            <w:pPr>
              <w:pStyle w:val="RSCT03TableBody"/>
              <w:spacing w:line="240" w:lineRule="auto"/>
              <w:rPr>
                <w:sz w:val="15"/>
                <w:szCs w:val="15"/>
              </w:rPr>
            </w:pPr>
            <w:r w:rsidRPr="00DC15C2">
              <w:rPr>
                <w:sz w:val="15"/>
                <w:szCs w:val="15"/>
              </w:rPr>
              <w:t>100.0</w:t>
            </w:r>
          </w:p>
        </w:tc>
        <w:tc>
          <w:tcPr>
            <w:tcW w:w="1667" w:type="pct"/>
            <w:vAlign w:val="center"/>
          </w:tcPr>
          <w:p w14:paraId="77E76754" w14:textId="77777777" w:rsidR="00D33494" w:rsidRPr="00DC15C2" w:rsidRDefault="00D33494" w:rsidP="00DC15C2">
            <w:pPr>
              <w:pStyle w:val="RSCT03TableBody"/>
              <w:spacing w:line="240" w:lineRule="auto"/>
              <w:rPr>
                <w:sz w:val="15"/>
                <w:szCs w:val="15"/>
              </w:rPr>
            </w:pPr>
            <w:r w:rsidRPr="00DC15C2">
              <w:rPr>
                <w:sz w:val="15"/>
                <w:szCs w:val="15"/>
              </w:rPr>
              <w:t>92.6</w:t>
            </w:r>
          </w:p>
        </w:tc>
      </w:tr>
      <w:tr w:rsidR="00D33494" w:rsidRPr="00905DD7" w14:paraId="7AD42DB6" w14:textId="77777777" w:rsidTr="00DC15C2">
        <w:trPr>
          <w:trHeight w:val="20"/>
        </w:trPr>
        <w:tc>
          <w:tcPr>
            <w:tcW w:w="1667" w:type="pct"/>
            <w:tcBorders>
              <w:bottom w:val="single" w:sz="8" w:space="0" w:color="000000"/>
            </w:tcBorders>
            <w:vAlign w:val="center"/>
          </w:tcPr>
          <w:p w14:paraId="14E2DCA0" w14:textId="77777777" w:rsidR="00D33494" w:rsidRPr="00DC15C2" w:rsidRDefault="00D33494" w:rsidP="00DC15C2">
            <w:pPr>
              <w:pStyle w:val="RSCT03TableBody"/>
              <w:spacing w:line="240" w:lineRule="auto"/>
              <w:rPr>
                <w:sz w:val="15"/>
                <w:szCs w:val="15"/>
              </w:rPr>
            </w:pPr>
            <w:r w:rsidRPr="00DC15C2">
              <w:rPr>
                <w:sz w:val="15"/>
                <w:szCs w:val="15"/>
              </w:rPr>
              <w:t>4</w:t>
            </w:r>
          </w:p>
        </w:tc>
        <w:tc>
          <w:tcPr>
            <w:tcW w:w="1667" w:type="pct"/>
            <w:tcBorders>
              <w:bottom w:val="single" w:sz="8" w:space="0" w:color="000000"/>
            </w:tcBorders>
            <w:vAlign w:val="center"/>
          </w:tcPr>
          <w:p w14:paraId="5E369FD1" w14:textId="77777777" w:rsidR="00D33494" w:rsidRPr="00DC15C2" w:rsidRDefault="00D33494" w:rsidP="00DC15C2">
            <w:pPr>
              <w:pStyle w:val="RSCT03TableBody"/>
              <w:spacing w:line="240" w:lineRule="auto"/>
              <w:rPr>
                <w:sz w:val="15"/>
                <w:szCs w:val="15"/>
              </w:rPr>
            </w:pPr>
            <w:r w:rsidRPr="00DC15C2">
              <w:rPr>
                <w:sz w:val="15"/>
                <w:szCs w:val="15"/>
              </w:rPr>
              <w:t>100.0</w:t>
            </w:r>
          </w:p>
        </w:tc>
        <w:tc>
          <w:tcPr>
            <w:tcW w:w="1667" w:type="pct"/>
            <w:tcBorders>
              <w:bottom w:val="single" w:sz="8" w:space="0" w:color="000000"/>
            </w:tcBorders>
            <w:vAlign w:val="center"/>
          </w:tcPr>
          <w:p w14:paraId="709E0FE1" w14:textId="77777777" w:rsidR="00D33494" w:rsidRPr="00DC15C2" w:rsidRDefault="00D33494" w:rsidP="00DC15C2">
            <w:pPr>
              <w:pStyle w:val="RSCT03TableBody"/>
              <w:spacing w:line="240" w:lineRule="auto"/>
              <w:rPr>
                <w:sz w:val="15"/>
                <w:szCs w:val="15"/>
              </w:rPr>
            </w:pPr>
            <w:r w:rsidRPr="00DC15C2">
              <w:rPr>
                <w:sz w:val="15"/>
                <w:szCs w:val="15"/>
              </w:rPr>
              <w:t>91.5</w:t>
            </w:r>
          </w:p>
        </w:tc>
      </w:tr>
    </w:tbl>
    <w:p w14:paraId="38EA8C70" w14:textId="6D630246" w:rsidR="00D33494" w:rsidRPr="00905DD7" w:rsidRDefault="00D33494" w:rsidP="00D33494">
      <w:pPr>
        <w:pStyle w:val="RSCT04TableFootnotewithbottombar"/>
      </w:pPr>
      <w:r w:rsidRPr="00905DD7">
        <w:t>Reaction conditions: 2,4-</w:t>
      </w:r>
      <w:r w:rsidRPr="00DC15C2">
        <w:t>dimethylphenol (</w:t>
      </w:r>
      <w:r w:rsidR="002671D6" w:rsidRPr="00DC15C2">
        <w:t>12-16</w:t>
      </w:r>
      <w:r w:rsidRPr="00DC15C2">
        <w:t xml:space="preserve"> mmol), isoprene (</w:t>
      </w:r>
      <w:r w:rsidR="002671D6" w:rsidRPr="00DC15C2">
        <w:t>6-8</w:t>
      </w:r>
      <w:r w:rsidRPr="00DC15C2">
        <w:t xml:space="preserve"> mmol), 1000 rpm, T = 35 °C, 5 mol% of Ga-SIL (</w:t>
      </w:r>
      <w:proofErr w:type="spellStart"/>
      <w:r w:rsidRPr="00DC15C2">
        <w:rPr>
          <w:i/>
          <w:iCs/>
        </w:rPr>
        <w:t>χ</w:t>
      </w:r>
      <w:r w:rsidRPr="00DC15C2">
        <w:rPr>
          <w:vertAlign w:val="subscript"/>
        </w:rPr>
        <w:t>Ga</w:t>
      </w:r>
      <w:proofErr w:type="spellEnd"/>
      <w:r w:rsidRPr="00DC15C2">
        <w:rPr>
          <w:vertAlign w:val="subscript"/>
        </w:rPr>
        <w:t>(</w:t>
      </w:r>
      <w:proofErr w:type="spellStart"/>
      <w:r w:rsidRPr="00DC15C2">
        <w:rPr>
          <w:vertAlign w:val="subscript"/>
        </w:rPr>
        <w:t>OTf</w:t>
      </w:r>
      <w:proofErr w:type="spellEnd"/>
      <w:r w:rsidRPr="00DC15C2">
        <w:rPr>
          <w:vertAlign w:val="subscript"/>
        </w:rPr>
        <w:t>)3</w:t>
      </w:r>
      <w:r w:rsidRPr="00DC15C2">
        <w:rPr>
          <w:bCs/>
        </w:rPr>
        <w:t> = 0.33) (</w:t>
      </w:r>
      <w:r w:rsidRPr="00DC15C2">
        <w:t>amount of catalyst calculated</w:t>
      </w:r>
      <w:r w:rsidRPr="00905DD7">
        <w:t xml:space="preserve"> in relation to isoprene), 120 min.</w:t>
      </w:r>
    </w:p>
    <w:p w14:paraId="55E91A6F" w14:textId="151F851A" w:rsidR="0025076F" w:rsidRPr="00905DD7" w:rsidRDefault="00D33494" w:rsidP="00DC15C2">
      <w:pPr>
        <w:pStyle w:val="RSCB02ArticleText"/>
        <w:ind w:firstLine="284"/>
        <w:rPr>
          <w:lang w:val="en-GB"/>
        </w:rPr>
      </w:pPr>
      <w:r w:rsidRPr="00905DD7">
        <w:rPr>
          <w:lang w:val="en-GB"/>
        </w:rPr>
        <w:t>In conclusion, the G3:Ga(</w:t>
      </w:r>
      <w:proofErr w:type="spellStart"/>
      <w:r w:rsidRPr="00905DD7">
        <w:rPr>
          <w:lang w:val="en-GB"/>
        </w:rPr>
        <w:t>OTf</w:t>
      </w:r>
      <w:proofErr w:type="spellEnd"/>
      <w:r w:rsidRPr="00905DD7">
        <w:rPr>
          <w:lang w:val="en-GB"/>
        </w:rPr>
        <w:t>)</w:t>
      </w:r>
      <w:r w:rsidRPr="00905DD7">
        <w:rPr>
          <w:vertAlign w:val="subscript"/>
          <w:lang w:val="en-GB"/>
        </w:rPr>
        <w:t>3</w:t>
      </w:r>
      <w:r w:rsidRPr="00905DD7">
        <w:rPr>
          <w:lang w:val="en-GB"/>
        </w:rPr>
        <w:t xml:space="preserve">, </w:t>
      </w:r>
      <w:proofErr w:type="spellStart"/>
      <w:r w:rsidRPr="00905DD7">
        <w:rPr>
          <w:i/>
          <w:iCs/>
          <w:lang w:val="en-GB"/>
        </w:rPr>
        <w:t>χ</w:t>
      </w:r>
      <w:r w:rsidRPr="00905DD7">
        <w:rPr>
          <w:vertAlign w:val="subscript"/>
          <w:lang w:val="en-GB"/>
        </w:rPr>
        <w:t>Ga</w:t>
      </w:r>
      <w:proofErr w:type="spellEnd"/>
      <w:r w:rsidRPr="00905DD7">
        <w:rPr>
          <w:vertAlign w:val="subscript"/>
          <w:lang w:val="en-GB"/>
        </w:rPr>
        <w:t>(</w:t>
      </w:r>
      <w:proofErr w:type="spellStart"/>
      <w:r w:rsidRPr="00905DD7">
        <w:rPr>
          <w:vertAlign w:val="subscript"/>
          <w:lang w:val="en-GB"/>
        </w:rPr>
        <w:t>OTf</w:t>
      </w:r>
      <w:proofErr w:type="spellEnd"/>
      <w:r w:rsidRPr="00905DD7">
        <w:rPr>
          <w:vertAlign w:val="subscript"/>
          <w:lang w:val="en-GB"/>
        </w:rPr>
        <w:t xml:space="preserve">)3 </w:t>
      </w:r>
      <w:r w:rsidRPr="00905DD7">
        <w:rPr>
          <w:lang w:val="en-GB"/>
        </w:rPr>
        <w:t> =</w:t>
      </w:r>
      <w:r w:rsidRPr="00905DD7">
        <w:rPr>
          <w:vertAlign w:val="subscript"/>
          <w:lang w:val="en-GB"/>
        </w:rPr>
        <w:t xml:space="preserve"> </w:t>
      </w:r>
      <w:r w:rsidRPr="00905DD7">
        <w:rPr>
          <w:lang w:val="en-GB"/>
        </w:rPr>
        <w:t xml:space="preserve">0.33 SIL was found to be an excellent catalyst for the synthesis of chromane, giving full </w:t>
      </w:r>
      <w:r w:rsidRPr="00DC15C2">
        <w:rPr>
          <w:lang w:val="en-GB"/>
        </w:rPr>
        <w:t>conversion of isoprene within 2 h, with selectivity towards 2,2-dimethyl-</w:t>
      </w:r>
      <w:r w:rsidR="006A6069" w:rsidRPr="00DC15C2">
        <w:rPr>
          <w:lang w:val="en-GB"/>
        </w:rPr>
        <w:t>6</w:t>
      </w:r>
      <w:r w:rsidRPr="00DC15C2">
        <w:rPr>
          <w:lang w:val="en-GB"/>
        </w:rPr>
        <w:t>,</w:t>
      </w:r>
      <w:r w:rsidR="006A6069" w:rsidRPr="00DC15C2">
        <w:rPr>
          <w:lang w:val="en-GB"/>
        </w:rPr>
        <w:t>8</w:t>
      </w:r>
      <w:r w:rsidRPr="00DC15C2">
        <w:rPr>
          <w:lang w:val="en-GB"/>
        </w:rPr>
        <w:t>-dimethylchromane reaching 93.8%, slightly higher than previously reported catalytic systems, offering selectivities ranging from 80% to 92%.</w:t>
      </w:r>
      <w:r w:rsidRPr="00DC15C2">
        <w:rPr>
          <w:lang w:val="en-GB"/>
        </w:rPr>
        <w:fldChar w:fldCharType="begin" w:fldLock="1"/>
      </w:r>
      <w:r w:rsidR="0026470D">
        <w:rPr>
          <w:lang w:val="en-GB"/>
        </w:rPr>
        <w:instrText>ADDIN CSL_CITATION {"citationItems":[{"id":"ITEM-1","itemData":{"DOI":"10.3389/fchem.2018.00535","ISSN":"22962646","PMID":"30483493","abstract":"The first example of triflometallate ionic liquids, named in analogy to chlorometallate ionic liquids, is reported. Trifloaluminate ionic liquids, synthesized from 1-alkyl-3-methylimidazolium triflates and aluminum triflate, were characterized by multinuclear NMR spectroscopy and FT-IR spectroscopy, revealing the existence of oligonuclear, multiply-charged trifloaluminate anions, with multiple bridging triflate modes. Acceptor numbers were determined to quantify their Lewis acidity, rendering trifloaluminate ionic liquids as medium-strength Lewis acids (AN = ca. 65). Used as acidic catalysts in the cycloaddition of 2,4-dimethylphenol and isoprene (molar ratio 2:1) to prepare chromane, trifloaluminate systems outperformed literature systems, showing high activity (conversions 94-99%, selectivities 80-89%) and at low loadings (0.2 mol%) at 35°C. Using these new systems as supported ionic liquid phase (SILP) on multi-walled carbon nanotubes (ionic liquid loading 16 wt%) delivered a recyclable catalytic system, with activity enhanced with respect to the homogenous regime.","author":[{"dropping-particle":"","family":"Latos","given":"Piotr","non-dropping-particle":"","parse-names":false,"suffix":""},{"dropping-particle":"","family":"Culkin","given":"Alice","non-dropping-particle":"","parse-names":false,"suffix":""},{"dropping-particle":"","family":"Barteczko","given":"Natalia","non-dropping-particle":"","parse-names":false,"suffix":""},{"dropping-particle":"","family":"Boncel","given":"Slawomir","non-dropping-particle":"","parse-names":false,"suffix":""},{"dropping-particle":"","family":"Jurczyk","given":"Sebastian","non-dropping-particle":"","parse-names":false,"suffix":""},{"dropping-particle":"","family":"Brown","given":"Lucy C.","non-dropping-particle":"","parse-names":false,"suffix":""},{"dropping-particle":"","family":"Nockemann","given":"Peter","non-dropping-particle":"","parse-names":false,"suffix":""},{"dropping-particle":"","family":"Chrobok","given":"Anna","non-dropping-particle":"","parse-names":false,"suffix":""},{"dropping-particle":"","family":"Swadźba-Kwaśny","given":"Małgorzata","non-dropping-particle":"","parse-names":false,"suffix":""}],"container-title":"Frontiers in Chemistry","id":"ITEM-1","issued":{"date-parts":[["2018","11","1"]]},"page":"1-15","publisher":"Front Chem","title":"Water-tolerant trifloaluminate ionic liquids: New and unique Lewis acidic catalysts for the synthesis of chromane","type":"article-journal","volume":"6"},"uris":["http://www.mendeley.com/documents/?uuid=f2c711ad-0564-32c8-a27d-1bf813b0a685"]},{"id":"ITEM-2","itemData":{"DOI":"10.1021/ol802800s","ISSN":"15237060","PMID":"19117489","abstract":"(Chemical Equation Presented) The combination of a molybdenum complex (CpMoCl(CO)3 or [CpMo(CO)3]2) and o-chloranil was used as a catalyst in the [3 + 3] cyclocoupling of phenols and allylic alcohols under microwave heating conditions. Substituted chromans were selectively obtained in moderate to good isolated yields. © 2009 American Chemical Society.","author":[{"dropping-particle":"","family":"Yamamoto","given":"Yoshihiko","non-dropping-particle":"","parse-names":false,"suffix":""},{"dropping-particle":"","family":"Itonaga","given":"Kouhei","non-dropping-particle":"","parse-names":false,"suffix":""}],"container-title":"Organic Letters","id":"ITEM-2","issue":"3","issued":{"date-parts":[["2009","2","5"]]},"page":"717-720","publisher":" American Chemical Society","title":"Synthesis of chromans via [3 + 3] cyclocoupling of phenols with allylic alcohols using a Mo/o-chloranil catalyst system","type":"article-journal","volume":"11"},"uris":["http://www.mendeley.com/documents/?uuid=a22b7342-810c-414b-951c-b771d8c4085a"]},{"id":"ITEM-3","itemData":{"DOI":"10.1021/jo201631x","ISSN":"00223263","abstract":"The generation of a hidden Brønsted acid as a true catalytic species in hydroalkoxylation reactions from metal precatalysts has been clarified in case studies. The mechanism of triflic acid (CF3SO3H or HOTf) generation starting either from AgOTf in 1,2-dichloroethane (DCE) or from a Cp*RuCl2/AgOTf/phosphane combination in toluene has been elucidated. The deliberate and controlled generation of HOTf from AgOTf and cocatalytic amounts of tert-butyl chloride in the cold or from AgOTf in DCE at elevated temperatures results in a hidden Brønsted acid catalyst useful for mechanistic control experiments or for synthetic applications. © 2011 American Chemical Society.","author":[{"dropping-particle":"","family":"Dang","given":"Tuan Thanh","non-dropping-particle":"","parse-names":false,"suffix":""},{"dropping-particle":"","family":"Boeck","given":"Florian","non-dropping-particle":"","parse-names":false,"suffix":""},{"dropping-particle":"","family":"Hintermann","given":"Lukas","non-dropping-particle":"","parse-names":false,"suffix":""}],"container-title":"Journal of Organic Chemistry","id":"ITEM-3","issue":"22","issued":{"date-parts":[["2011","11","18"]]},"page":"9353-9361","publisher":"American Chemical Society","title":"Hidden Brønsted acid catalysis: Pathways of accidental or deliberate generation of triflic acid from metal triflates","type":"article-journal","volume":"76"},"uris":["http://www.mendeley.com/documents/?uuid=08d05319-8ec0-4388-898d-e06d5d102c2e"]}],"mendeley":{"formattedCitation":"&lt;sup&gt;12,66,67&lt;/sup&gt;","plainTextFormattedCitation":"12,66,67","previouslyFormattedCitation":"&lt;sup&gt;12,66,67&lt;/sup&gt;"},"properties":{"noteIndex":0},"schema":"https://github.com/citation-style-language/schema/raw/master/csl-citation.json"}</w:instrText>
      </w:r>
      <w:r w:rsidRPr="00DC15C2">
        <w:rPr>
          <w:lang w:val="en-GB"/>
        </w:rPr>
        <w:fldChar w:fldCharType="separate"/>
      </w:r>
      <w:r w:rsidR="0026470D" w:rsidRPr="0026470D">
        <w:rPr>
          <w:noProof/>
          <w:vertAlign w:val="superscript"/>
          <w:lang w:val="en-GB"/>
        </w:rPr>
        <w:t>12,66,67</w:t>
      </w:r>
      <w:r w:rsidRPr="00DC15C2">
        <w:rPr>
          <w:lang w:val="en-GB"/>
        </w:rPr>
        <w:fldChar w:fldCharType="end"/>
      </w:r>
      <w:r w:rsidR="00295FD6" w:rsidRPr="00DC15C2">
        <w:rPr>
          <w:lang w:val="en-GB"/>
        </w:rPr>
        <w:t xml:space="preserve"> </w:t>
      </w:r>
      <w:r w:rsidR="003825C8" w:rsidRPr="00DC15C2">
        <w:rPr>
          <w:lang w:val="en-GB"/>
        </w:rPr>
        <w:t>T</w:t>
      </w:r>
      <w:r w:rsidRPr="00DC15C2">
        <w:rPr>
          <w:lang w:val="en-GB"/>
        </w:rPr>
        <w:t xml:space="preserve">he </w:t>
      </w:r>
      <w:r w:rsidR="00481DFE" w:rsidRPr="00DC15C2">
        <w:rPr>
          <w:lang w:val="en-GB"/>
        </w:rPr>
        <w:t>catalytic performance of Al-SILs and Ga-SILs</w:t>
      </w:r>
      <w:r w:rsidRPr="00DC15C2">
        <w:rPr>
          <w:lang w:val="en-GB"/>
        </w:rPr>
        <w:t xml:space="preserve"> has followed the AN trend.</w:t>
      </w:r>
      <w:r w:rsidR="00481DFE">
        <w:rPr>
          <w:shd w:val="clear" w:color="auto" w:fill="C2D69B" w:themeFill="accent3" w:themeFillTint="99"/>
          <w:lang w:val="en-GB"/>
        </w:rPr>
        <w:t xml:space="preserve"> </w:t>
      </w:r>
    </w:p>
    <w:p w14:paraId="7F948B1F" w14:textId="4374D2B2" w:rsidR="00E61949" w:rsidRPr="00905DD7" w:rsidRDefault="00180ABE" w:rsidP="00AF4737">
      <w:pPr>
        <w:pStyle w:val="RSCB04AHeadingSection"/>
      </w:pPr>
      <w:r w:rsidRPr="00905DD7">
        <w:t>Conclusions</w:t>
      </w:r>
    </w:p>
    <w:p w14:paraId="49C98118" w14:textId="43551C2B" w:rsidR="002266A9" w:rsidRDefault="001011D8" w:rsidP="001011D8">
      <w:pPr>
        <w:pStyle w:val="RSCB02ArticleText"/>
        <w:rPr>
          <w:lang w:val="en-GB"/>
        </w:rPr>
      </w:pPr>
      <w:r w:rsidRPr="00905DD7">
        <w:rPr>
          <w:lang w:val="en-GB"/>
        </w:rPr>
        <w:t xml:space="preserve">New solvate ionic liquids based on aluminium(III) and gallium(III) </w:t>
      </w:r>
      <w:r w:rsidR="00295FD6">
        <w:rPr>
          <w:lang w:val="en-GB"/>
        </w:rPr>
        <w:t xml:space="preserve">triflates, and G3, </w:t>
      </w:r>
      <w:r w:rsidRPr="00905DD7">
        <w:rPr>
          <w:lang w:val="en-GB"/>
        </w:rPr>
        <w:t xml:space="preserve">have been </w:t>
      </w:r>
      <w:r w:rsidR="002266A9">
        <w:rPr>
          <w:lang w:val="en-GB"/>
        </w:rPr>
        <w:t xml:space="preserve">synthesised, characterised and used as Lewis acidic catalysts for the synthesis of chromane. Both triflate salts dissolved in </w:t>
      </w:r>
      <w:r w:rsidR="0025298F">
        <w:rPr>
          <w:lang w:val="en-GB"/>
        </w:rPr>
        <w:t>G3 at low concentrations (</w:t>
      </w:r>
      <w:proofErr w:type="spellStart"/>
      <w:r w:rsidR="0025298F" w:rsidRPr="00905DD7">
        <w:rPr>
          <w:i/>
          <w:iCs/>
          <w:lang w:val="en-GB"/>
        </w:rPr>
        <w:t>χ</w:t>
      </w:r>
      <w:r w:rsidR="0025298F">
        <w:rPr>
          <w:vertAlign w:val="subscript"/>
          <w:lang w:val="en-GB"/>
        </w:rPr>
        <w:t>M</w:t>
      </w:r>
      <w:proofErr w:type="spellEnd"/>
      <w:r w:rsidR="0025298F" w:rsidRPr="00905DD7">
        <w:rPr>
          <w:vertAlign w:val="subscript"/>
          <w:lang w:val="en-GB"/>
        </w:rPr>
        <w:t>(</w:t>
      </w:r>
      <w:proofErr w:type="spellStart"/>
      <w:r w:rsidR="0025298F" w:rsidRPr="00905DD7">
        <w:rPr>
          <w:vertAlign w:val="subscript"/>
          <w:lang w:val="en-GB"/>
        </w:rPr>
        <w:t>OTf</w:t>
      </w:r>
      <w:proofErr w:type="spellEnd"/>
      <w:r w:rsidR="0025298F" w:rsidRPr="00905DD7">
        <w:rPr>
          <w:vertAlign w:val="subscript"/>
          <w:lang w:val="en-GB"/>
        </w:rPr>
        <w:t>)3</w:t>
      </w:r>
      <w:r w:rsidR="0025298F" w:rsidRPr="00905DD7">
        <w:rPr>
          <w:lang w:val="en-GB"/>
        </w:rPr>
        <w:t xml:space="preserve"> = 0.</w:t>
      </w:r>
      <w:r w:rsidR="0025298F">
        <w:rPr>
          <w:lang w:val="en-GB"/>
        </w:rPr>
        <w:t xml:space="preserve">09) and formed homogenous liquids up to the metal triflate loading of </w:t>
      </w:r>
      <w:proofErr w:type="spellStart"/>
      <w:r w:rsidR="0025298F" w:rsidRPr="00905DD7">
        <w:rPr>
          <w:i/>
          <w:iCs/>
          <w:lang w:val="en-GB"/>
        </w:rPr>
        <w:t>χ</w:t>
      </w:r>
      <w:r w:rsidR="0025298F">
        <w:rPr>
          <w:vertAlign w:val="subscript"/>
          <w:lang w:val="en-GB"/>
        </w:rPr>
        <w:t>M</w:t>
      </w:r>
      <w:proofErr w:type="spellEnd"/>
      <w:r w:rsidR="0025298F" w:rsidRPr="00905DD7">
        <w:rPr>
          <w:vertAlign w:val="subscript"/>
          <w:lang w:val="en-GB"/>
        </w:rPr>
        <w:t>(</w:t>
      </w:r>
      <w:proofErr w:type="spellStart"/>
      <w:r w:rsidR="0025298F" w:rsidRPr="00905DD7">
        <w:rPr>
          <w:vertAlign w:val="subscript"/>
          <w:lang w:val="en-GB"/>
        </w:rPr>
        <w:t>OTf</w:t>
      </w:r>
      <w:proofErr w:type="spellEnd"/>
      <w:r w:rsidR="0025298F" w:rsidRPr="00905DD7">
        <w:rPr>
          <w:vertAlign w:val="subscript"/>
          <w:lang w:val="en-GB"/>
        </w:rPr>
        <w:t>)3</w:t>
      </w:r>
      <w:r w:rsidR="0025298F" w:rsidRPr="00905DD7">
        <w:rPr>
          <w:lang w:val="en-GB"/>
        </w:rPr>
        <w:t xml:space="preserve"> = 0.33</w:t>
      </w:r>
      <w:r w:rsidR="0025298F">
        <w:rPr>
          <w:lang w:val="en-GB"/>
        </w:rPr>
        <w:t>. It was found that both metals were octahedral across the entire compositional range, and both G3 and [</w:t>
      </w:r>
      <w:proofErr w:type="spellStart"/>
      <w:r w:rsidR="0025298F">
        <w:rPr>
          <w:lang w:val="en-GB"/>
        </w:rPr>
        <w:t>OTf</w:t>
      </w:r>
      <w:proofErr w:type="spellEnd"/>
      <w:r w:rsidR="0025298F">
        <w:rPr>
          <w:lang w:val="en-GB"/>
        </w:rPr>
        <w:t>]</w:t>
      </w:r>
      <w:r w:rsidR="0025298F" w:rsidRPr="00C1259D">
        <w:rPr>
          <w:vertAlign w:val="superscript"/>
          <w:lang w:val="en-GB"/>
        </w:rPr>
        <w:t>-</w:t>
      </w:r>
      <w:r w:rsidR="0025298F">
        <w:rPr>
          <w:lang w:val="en-GB"/>
        </w:rPr>
        <w:t xml:space="preserve"> were included in the first coordination sphere of the metal.</w:t>
      </w:r>
    </w:p>
    <w:p w14:paraId="4AA99B8C" w14:textId="440027BE" w:rsidR="00395B53" w:rsidRDefault="0025298F" w:rsidP="00395B53">
      <w:pPr>
        <w:pStyle w:val="RSCB02ArticleText"/>
        <w:rPr>
          <w:lang w:val="en-GB"/>
        </w:rPr>
      </w:pPr>
      <w:r>
        <w:rPr>
          <w:lang w:val="en-GB"/>
        </w:rPr>
        <w:tab/>
      </w:r>
      <w:r w:rsidR="00395B53">
        <w:rPr>
          <w:lang w:val="en-GB"/>
        </w:rPr>
        <w:t>From multinuclear NMR spectroscopic experiments</w:t>
      </w:r>
      <w:r>
        <w:rPr>
          <w:lang w:val="en-GB"/>
        </w:rPr>
        <w:t>, it appeared that coordination environment remained similar across the compositional range</w:t>
      </w:r>
      <w:r w:rsidR="00395B53">
        <w:rPr>
          <w:lang w:val="en-GB"/>
        </w:rPr>
        <w:t>, for each of the two metals.</w:t>
      </w:r>
      <w:r>
        <w:rPr>
          <w:lang w:val="en-GB"/>
        </w:rPr>
        <w:t xml:space="preserve"> </w:t>
      </w:r>
      <w:r w:rsidR="00395B53">
        <w:rPr>
          <w:lang w:val="en-GB"/>
        </w:rPr>
        <w:t>Furthermore,</w:t>
      </w:r>
      <w:r>
        <w:rPr>
          <w:lang w:val="en-GB"/>
        </w:rPr>
        <w:t xml:space="preserve"> it was </w:t>
      </w:r>
      <w:r w:rsidR="00395B53">
        <w:rPr>
          <w:lang w:val="en-GB"/>
        </w:rPr>
        <w:t>suggested</w:t>
      </w:r>
      <w:r>
        <w:rPr>
          <w:lang w:val="en-GB"/>
        </w:rPr>
        <w:t xml:space="preserve"> that speciation of Al-SILs was different from that of Ga-SILs, potentially with </w:t>
      </w:r>
      <w:proofErr w:type="gramStart"/>
      <w:r>
        <w:rPr>
          <w:lang w:val="en-GB"/>
        </w:rPr>
        <w:t>more free</w:t>
      </w:r>
      <w:proofErr w:type="gramEnd"/>
      <w:r>
        <w:rPr>
          <w:lang w:val="en-GB"/>
        </w:rPr>
        <w:t xml:space="preserve"> triflate in the former. AN values</w:t>
      </w:r>
      <w:r w:rsidR="007F46EE">
        <w:rPr>
          <w:lang w:val="en-GB"/>
        </w:rPr>
        <w:t xml:space="preserve"> (an experimental measure of Lewis acidity)</w:t>
      </w:r>
      <w:r>
        <w:rPr>
          <w:lang w:val="en-GB"/>
        </w:rPr>
        <w:t xml:space="preserve"> were constant for each SIL family, across the entire compositional range: </w:t>
      </w:r>
      <w:r w:rsidRPr="00C1259D">
        <w:rPr>
          <w:i/>
          <w:iCs/>
          <w:lang w:val="en-GB"/>
        </w:rPr>
        <w:t>ca</w:t>
      </w:r>
      <w:r>
        <w:rPr>
          <w:lang w:val="en-GB"/>
        </w:rPr>
        <w:t xml:space="preserve">. 71-83 for Al-SILs and </w:t>
      </w:r>
      <w:r w:rsidRPr="00C1259D">
        <w:rPr>
          <w:i/>
          <w:iCs/>
          <w:lang w:val="en-GB"/>
        </w:rPr>
        <w:t>ca</w:t>
      </w:r>
      <w:r>
        <w:rPr>
          <w:lang w:val="en-GB"/>
        </w:rPr>
        <w:t>. 80-93 for Ga-SILs.</w:t>
      </w:r>
      <w:r w:rsidR="00395B53">
        <w:rPr>
          <w:lang w:val="en-GB"/>
        </w:rPr>
        <w:t xml:space="preserve"> These values lie within relatively high acidity range, d</w:t>
      </w:r>
      <w:r w:rsidR="001011D8" w:rsidRPr="00905DD7">
        <w:rPr>
          <w:lang w:val="en-GB"/>
        </w:rPr>
        <w:t>espite fully occupied coordination shell</w:t>
      </w:r>
      <w:r w:rsidR="00395B53">
        <w:rPr>
          <w:lang w:val="en-GB"/>
        </w:rPr>
        <w:t>.</w:t>
      </w:r>
    </w:p>
    <w:p w14:paraId="65DA98B8" w14:textId="4EAECDE9" w:rsidR="00395B53" w:rsidRPr="00582140" w:rsidRDefault="00395B53" w:rsidP="00582140">
      <w:pPr>
        <w:pStyle w:val="RSCB02ArticleText"/>
        <w:ind w:firstLine="284"/>
        <w:rPr>
          <w:lang w:val="en-GB"/>
        </w:rPr>
      </w:pPr>
      <w:r>
        <w:rPr>
          <w:lang w:val="en-GB"/>
        </w:rPr>
        <w:t>C</w:t>
      </w:r>
      <w:r w:rsidR="001011D8" w:rsidRPr="00905DD7">
        <w:rPr>
          <w:lang w:val="en-GB"/>
        </w:rPr>
        <w:t>atalytic activity of SILs</w:t>
      </w:r>
      <w:r>
        <w:rPr>
          <w:lang w:val="en-GB"/>
        </w:rPr>
        <w:t xml:space="preserve"> was tested</w:t>
      </w:r>
      <w:r w:rsidRPr="00905DD7" w:rsidDel="00395B53">
        <w:rPr>
          <w:lang w:val="en-GB"/>
        </w:rPr>
        <w:t xml:space="preserve"> </w:t>
      </w:r>
      <w:r w:rsidR="001011D8" w:rsidRPr="00905DD7">
        <w:rPr>
          <w:lang w:val="en-GB"/>
        </w:rPr>
        <w:t>in</w:t>
      </w:r>
      <w:r>
        <w:rPr>
          <w:lang w:val="en-GB"/>
        </w:rPr>
        <w:t xml:space="preserve"> a model</w:t>
      </w:r>
      <w:r w:rsidR="00315192">
        <w:rPr>
          <w:lang w:val="en-GB"/>
        </w:rPr>
        <w:t xml:space="preserve"> </w:t>
      </w:r>
      <w:r w:rsidR="001011D8" w:rsidRPr="00905DD7">
        <w:rPr>
          <w:lang w:val="en-GB"/>
        </w:rPr>
        <w:t>[3+3] cycloaddition, yielding 2,2-dimethyl-2,4-dimethylchromane</w:t>
      </w:r>
      <w:r>
        <w:rPr>
          <w:lang w:val="en-GB"/>
        </w:rPr>
        <w:t xml:space="preserve">. Both families of </w:t>
      </w:r>
      <w:r w:rsidRPr="00582140">
        <w:rPr>
          <w:lang w:val="en-GB"/>
        </w:rPr>
        <w:t>SILs</w:t>
      </w:r>
      <w:r w:rsidR="001011D8" w:rsidRPr="00582140">
        <w:rPr>
          <w:lang w:val="en-GB"/>
        </w:rPr>
        <w:t xml:space="preserve"> were fully dissolved in the reaction mixtures, in contrast to the parent metal triflates, and their catalytic activity has been enhanced</w:t>
      </w:r>
      <w:r w:rsidRPr="00582140">
        <w:rPr>
          <w:lang w:val="en-GB"/>
        </w:rPr>
        <w:t xml:space="preserve"> when compared at the same metal loading</w:t>
      </w:r>
      <w:r w:rsidR="001011D8" w:rsidRPr="00582140">
        <w:rPr>
          <w:lang w:val="en-GB"/>
        </w:rPr>
        <w:t xml:space="preserve">. </w:t>
      </w:r>
      <w:r w:rsidRPr="00582140">
        <w:rPr>
          <w:lang w:val="en-GB"/>
        </w:rPr>
        <w:t xml:space="preserve">Catalytic performance was aligned with AN measurements, with Ga-SILs outperforming Al-SILs. The best catalyst (Ga-SIL </w:t>
      </w:r>
      <w:proofErr w:type="spellStart"/>
      <w:r w:rsidRPr="00582140">
        <w:rPr>
          <w:i/>
          <w:iCs/>
          <w:lang w:val="en-GB"/>
        </w:rPr>
        <w:t>χ</w:t>
      </w:r>
      <w:r w:rsidRPr="00582140">
        <w:rPr>
          <w:vertAlign w:val="subscript"/>
          <w:lang w:val="en-GB"/>
        </w:rPr>
        <w:t>M</w:t>
      </w:r>
      <w:proofErr w:type="spellEnd"/>
      <w:r w:rsidRPr="00582140">
        <w:rPr>
          <w:vertAlign w:val="subscript"/>
          <w:lang w:val="en-GB"/>
        </w:rPr>
        <w:t>(</w:t>
      </w:r>
      <w:proofErr w:type="spellStart"/>
      <w:r w:rsidRPr="00582140">
        <w:rPr>
          <w:vertAlign w:val="subscript"/>
          <w:lang w:val="en-GB"/>
        </w:rPr>
        <w:t>OTf</w:t>
      </w:r>
      <w:proofErr w:type="spellEnd"/>
      <w:r w:rsidRPr="00582140">
        <w:rPr>
          <w:vertAlign w:val="subscript"/>
          <w:lang w:val="en-GB"/>
        </w:rPr>
        <w:t>)3</w:t>
      </w:r>
      <w:r w:rsidRPr="00582140">
        <w:rPr>
          <w:lang w:val="en-GB"/>
        </w:rPr>
        <w:t xml:space="preserve"> = 0.33) gave full substrate conversion and a high selectivity of 93.8% after 2 h at 35˚C, and could be recycled four times, retaining consistently high conversion and selectivity.</w:t>
      </w:r>
    </w:p>
    <w:p w14:paraId="00AA11E3" w14:textId="08139C05" w:rsidR="00FA2DA2" w:rsidRPr="00905DD7" w:rsidRDefault="00315192" w:rsidP="00582140">
      <w:pPr>
        <w:pStyle w:val="RSCB02ArticleText"/>
        <w:ind w:firstLine="284"/>
        <w:rPr>
          <w:lang w:val="en-GB"/>
        </w:rPr>
      </w:pPr>
      <w:r w:rsidRPr="00582140">
        <w:rPr>
          <w:lang w:val="en-GB"/>
        </w:rPr>
        <w:t>G</w:t>
      </w:r>
      <w:r w:rsidR="008E4C86" w:rsidRPr="00582140">
        <w:rPr>
          <w:lang w:val="en-GB"/>
        </w:rPr>
        <w:t xml:space="preserve">iven </w:t>
      </w:r>
      <w:r w:rsidRPr="00582140">
        <w:rPr>
          <w:lang w:val="en-GB"/>
        </w:rPr>
        <w:t xml:space="preserve">the </w:t>
      </w:r>
      <w:r w:rsidR="001011D8" w:rsidRPr="00582140">
        <w:rPr>
          <w:lang w:val="en-GB"/>
        </w:rPr>
        <w:t xml:space="preserve">notorious difficulties in dissolving metal triflates, converting them to SILs may offer a </w:t>
      </w:r>
      <w:proofErr w:type="gramStart"/>
      <w:r w:rsidR="001011D8" w:rsidRPr="00582140">
        <w:rPr>
          <w:lang w:val="en-GB"/>
        </w:rPr>
        <w:t>broadly-applicable</w:t>
      </w:r>
      <w:proofErr w:type="gramEnd"/>
      <w:r w:rsidR="001011D8" w:rsidRPr="00582140">
        <w:rPr>
          <w:lang w:val="en-GB"/>
        </w:rPr>
        <w:t xml:space="preserve"> and robust approach to generate well-soluble metal triflate catalysts; this strategy is likely applicable beyond Group 13, to rare earth triflates and transition metal triflates. </w:t>
      </w:r>
      <w:r w:rsidRPr="00582140">
        <w:rPr>
          <w:lang w:val="en-GB"/>
        </w:rPr>
        <w:t xml:space="preserve">Further </w:t>
      </w:r>
      <w:r w:rsidRPr="00582140">
        <w:rPr>
          <w:lang w:val="en-GB"/>
        </w:rPr>
        <w:t xml:space="preserve">detailed studies on the </w:t>
      </w:r>
      <w:r w:rsidR="00395B53" w:rsidRPr="00582140">
        <w:rPr>
          <w:lang w:val="en-GB"/>
        </w:rPr>
        <w:t xml:space="preserve">structure and applications of Group 13 </w:t>
      </w:r>
      <w:r w:rsidRPr="00582140">
        <w:rPr>
          <w:lang w:val="en-GB"/>
        </w:rPr>
        <w:t>SILs are currently ongoing</w:t>
      </w:r>
      <w:r w:rsidR="00395B53" w:rsidRPr="00582140">
        <w:rPr>
          <w:lang w:val="en-GB"/>
        </w:rPr>
        <w:t xml:space="preserve"> in our group</w:t>
      </w:r>
      <w:r w:rsidRPr="00582140">
        <w:rPr>
          <w:lang w:val="en-GB"/>
        </w:rPr>
        <w:t xml:space="preserve">. </w:t>
      </w:r>
    </w:p>
    <w:p w14:paraId="466E01EF" w14:textId="6139ECB5" w:rsidR="001925B0" w:rsidRPr="00905DD7" w:rsidRDefault="001925B0" w:rsidP="001925B0">
      <w:pPr>
        <w:pStyle w:val="RSCB04AHeadingSection"/>
      </w:pPr>
      <w:r w:rsidRPr="00905DD7">
        <w:t>Author Contributions</w:t>
      </w:r>
    </w:p>
    <w:p w14:paraId="054D045F" w14:textId="728D3234" w:rsidR="001925B0" w:rsidRPr="00905DD7" w:rsidRDefault="00EE1D6C" w:rsidP="00D04C70">
      <w:pPr>
        <w:spacing w:line="240" w:lineRule="exact"/>
        <w:jc w:val="both"/>
        <w:rPr>
          <w:sz w:val="18"/>
          <w:szCs w:val="18"/>
        </w:rPr>
      </w:pPr>
      <w:r w:rsidRPr="00905DD7">
        <w:rPr>
          <w:sz w:val="18"/>
          <w:szCs w:val="18"/>
        </w:rPr>
        <w:t xml:space="preserve">Justyna Więcławik: Data curation, Formal analysis, Investigation, Methodology, Validation, Visualization Writing – original draft; Alina Brzęczek-Szafran: </w:t>
      </w:r>
      <w:r w:rsidR="004A7009" w:rsidRPr="00905DD7">
        <w:rPr>
          <w:sz w:val="18"/>
          <w:szCs w:val="18"/>
        </w:rPr>
        <w:t>Conceptuali</w:t>
      </w:r>
      <w:r w:rsidR="004A7009">
        <w:rPr>
          <w:sz w:val="18"/>
          <w:szCs w:val="18"/>
        </w:rPr>
        <w:t>s</w:t>
      </w:r>
      <w:r w:rsidR="004A7009" w:rsidRPr="00905DD7">
        <w:rPr>
          <w:sz w:val="18"/>
          <w:szCs w:val="18"/>
        </w:rPr>
        <w:t>ation</w:t>
      </w:r>
      <w:r w:rsidRPr="00905DD7">
        <w:rPr>
          <w:sz w:val="18"/>
          <w:szCs w:val="18"/>
        </w:rPr>
        <w:t>, Formal analysis, Methodology, Visualization, Writing – original draft</w:t>
      </w:r>
      <w:r w:rsidR="00C1259D">
        <w:rPr>
          <w:sz w:val="18"/>
          <w:szCs w:val="18"/>
        </w:rPr>
        <w:t>,</w:t>
      </w:r>
      <w:r w:rsidRPr="00905DD7">
        <w:rPr>
          <w:sz w:val="18"/>
          <w:szCs w:val="18"/>
        </w:rPr>
        <w:t xml:space="preserve"> Writing – review &amp; editing; Sebastian Jurczyk: Formal analysis, Methodology; Karolina Matuszek: Methodology, Validation, Writing – review &amp; editing; Ma</w:t>
      </w:r>
      <w:r w:rsidR="00C1259D">
        <w:rPr>
          <w:sz w:val="18"/>
          <w:szCs w:val="18"/>
        </w:rPr>
        <w:t>ł</w:t>
      </w:r>
      <w:r w:rsidRPr="00905DD7">
        <w:rPr>
          <w:sz w:val="18"/>
          <w:szCs w:val="18"/>
        </w:rPr>
        <w:t xml:space="preserve">gorzata </w:t>
      </w:r>
      <w:r w:rsidR="004A7009" w:rsidRPr="00905DD7">
        <w:rPr>
          <w:sz w:val="18"/>
          <w:szCs w:val="18"/>
        </w:rPr>
        <w:t>Swad</w:t>
      </w:r>
      <w:r w:rsidR="004A7009">
        <w:rPr>
          <w:sz w:val="18"/>
          <w:szCs w:val="18"/>
        </w:rPr>
        <w:t>ź</w:t>
      </w:r>
      <w:r w:rsidR="004A7009" w:rsidRPr="00905DD7">
        <w:rPr>
          <w:sz w:val="18"/>
          <w:szCs w:val="18"/>
        </w:rPr>
        <w:t>ba</w:t>
      </w:r>
      <w:r w:rsidRPr="00905DD7">
        <w:rPr>
          <w:sz w:val="18"/>
          <w:szCs w:val="18"/>
        </w:rPr>
        <w:t>-</w:t>
      </w:r>
      <w:r w:rsidR="004A7009" w:rsidRPr="00905DD7">
        <w:rPr>
          <w:sz w:val="18"/>
          <w:szCs w:val="18"/>
        </w:rPr>
        <w:t>Kwa</w:t>
      </w:r>
      <w:r w:rsidR="004A7009">
        <w:rPr>
          <w:sz w:val="18"/>
          <w:szCs w:val="18"/>
        </w:rPr>
        <w:t>ś</w:t>
      </w:r>
      <w:r w:rsidR="004A7009" w:rsidRPr="00905DD7">
        <w:rPr>
          <w:sz w:val="18"/>
          <w:szCs w:val="18"/>
        </w:rPr>
        <w:t>ny</w:t>
      </w:r>
      <w:r w:rsidRPr="00905DD7">
        <w:rPr>
          <w:sz w:val="18"/>
          <w:szCs w:val="18"/>
        </w:rPr>
        <w:t>: Conceptuali</w:t>
      </w:r>
      <w:r w:rsidR="004A7009">
        <w:rPr>
          <w:sz w:val="18"/>
          <w:szCs w:val="18"/>
        </w:rPr>
        <w:t>s</w:t>
      </w:r>
      <w:r w:rsidRPr="00905DD7">
        <w:rPr>
          <w:sz w:val="18"/>
          <w:szCs w:val="18"/>
        </w:rPr>
        <w:t>ation, Funding acquisition, Supervision, Writing – original draft, Writing – review &amp; editing; Anna Chrobok: Conceptuali</w:t>
      </w:r>
      <w:r w:rsidR="004A7009">
        <w:rPr>
          <w:sz w:val="18"/>
          <w:szCs w:val="18"/>
        </w:rPr>
        <w:t>s</w:t>
      </w:r>
      <w:r w:rsidRPr="00905DD7">
        <w:rPr>
          <w:sz w:val="18"/>
          <w:szCs w:val="18"/>
        </w:rPr>
        <w:t>ation, Funding acquisition, Supervision, Writing – original draft, Writing – review &amp; editing.</w:t>
      </w:r>
    </w:p>
    <w:p w14:paraId="177CDB0E" w14:textId="30DD831C" w:rsidR="00C9557D" w:rsidRPr="00905DD7" w:rsidRDefault="00C9557D" w:rsidP="00C9557D">
      <w:pPr>
        <w:pStyle w:val="RSCB04AHeadingSection"/>
      </w:pPr>
      <w:r w:rsidRPr="00905DD7">
        <w:t>Conflict</w:t>
      </w:r>
      <w:r w:rsidR="00F05C18" w:rsidRPr="00905DD7">
        <w:t>s</w:t>
      </w:r>
      <w:r w:rsidRPr="00905DD7">
        <w:t xml:space="preserve"> of interest</w:t>
      </w:r>
    </w:p>
    <w:p w14:paraId="246AAD08" w14:textId="41E61A11" w:rsidR="00A05364" w:rsidRPr="00905DD7" w:rsidRDefault="00A05364" w:rsidP="00A05364">
      <w:pPr>
        <w:rPr>
          <w:rFonts w:cs="Times New Roman"/>
          <w:w w:val="108"/>
          <w:sz w:val="18"/>
          <w:szCs w:val="18"/>
        </w:rPr>
      </w:pPr>
      <w:r w:rsidRPr="00905DD7">
        <w:rPr>
          <w:rFonts w:cs="Times New Roman"/>
          <w:w w:val="108"/>
          <w:sz w:val="18"/>
          <w:szCs w:val="18"/>
        </w:rPr>
        <w:t>There are no conflicts to declare.</w:t>
      </w:r>
    </w:p>
    <w:p w14:paraId="0FFF7B7C" w14:textId="77777777" w:rsidR="00E1412C" w:rsidRPr="00905DD7" w:rsidRDefault="00E1412C" w:rsidP="00E1412C">
      <w:pPr>
        <w:pStyle w:val="RSCB04AHeadingSection"/>
      </w:pPr>
      <w:r w:rsidRPr="00905DD7">
        <w:t>Data availability</w:t>
      </w:r>
    </w:p>
    <w:p w14:paraId="15379298" w14:textId="101C850F" w:rsidR="00E1412C" w:rsidRPr="00905DD7" w:rsidRDefault="00E1412C" w:rsidP="00E1412C">
      <w:pPr>
        <w:pStyle w:val="RSCB04AHeadingSection"/>
        <w:spacing w:before="0" w:after="0" w:line="240" w:lineRule="exact"/>
        <w:jc w:val="both"/>
        <w:rPr>
          <w:rFonts w:cs="Times New Roman"/>
          <w:b w:val="0"/>
          <w:w w:val="108"/>
          <w:sz w:val="18"/>
          <w:szCs w:val="18"/>
        </w:rPr>
      </w:pPr>
      <w:r w:rsidRPr="00905DD7">
        <w:rPr>
          <w:rFonts w:cs="Times New Roman"/>
          <w:b w:val="0"/>
          <w:w w:val="108"/>
          <w:sz w:val="18"/>
          <w:szCs w:val="18"/>
        </w:rPr>
        <w:t>The data supporting this article have been included as part of the Supplementary Information.</w:t>
      </w:r>
    </w:p>
    <w:p w14:paraId="2B7CDDB1" w14:textId="22A5C954" w:rsidR="00FA2DA2" w:rsidRPr="00905DD7" w:rsidRDefault="00FA2DA2" w:rsidP="00FA2DA2">
      <w:pPr>
        <w:pStyle w:val="RSCB04AHeadingSection"/>
      </w:pPr>
      <w:r w:rsidRPr="00905DD7">
        <w:t>Acknowledgements</w:t>
      </w:r>
    </w:p>
    <w:p w14:paraId="70519FF5" w14:textId="6B8E78F2" w:rsidR="00FA2DA2" w:rsidRPr="00905DD7" w:rsidRDefault="00953F89" w:rsidP="001011D8">
      <w:pPr>
        <w:pStyle w:val="RSCB02ArticleText"/>
        <w:rPr>
          <w:lang w:val="en-GB"/>
        </w:rPr>
      </w:pPr>
      <w:r w:rsidRPr="00905DD7">
        <w:rPr>
          <w:lang w:val="en-GB"/>
        </w:rPr>
        <w:t xml:space="preserve">The financial support from the National Science Centre, Poland (grant no. UMO-2020/39/B/ST8/00693) are gratefully acknowledged. The authors also express gratitude to the Polish Agency for Academic Exchange (under the Academic International Partnerships program, grant agreement PPI/APM/2018/1/00004) for financial support of the internship at </w:t>
      </w:r>
      <w:r w:rsidR="004A7009">
        <w:rPr>
          <w:lang w:val="en-GB"/>
        </w:rPr>
        <w:t>The QUILL Research Centre,</w:t>
      </w:r>
      <w:r w:rsidRPr="00905DD7">
        <w:rPr>
          <w:lang w:val="en-GB"/>
        </w:rPr>
        <w:t xml:space="preserve"> Queen’s University Belfast</w:t>
      </w:r>
      <w:r w:rsidR="004A7009">
        <w:rPr>
          <w:lang w:val="en-GB"/>
        </w:rPr>
        <w:t>,</w:t>
      </w:r>
      <w:r w:rsidRPr="00905DD7">
        <w:rPr>
          <w:lang w:val="en-GB"/>
        </w:rPr>
        <w:t xml:space="preserve"> which enabled a part of the speciation study, Polish National Agency for Academic Exchange and grant agreement BPI/PST/2021/1/00039 for enabling scientific discussions in a project funded within the Strategic Partnerships program that helped us interpret a phenomena described above.</w:t>
      </w:r>
    </w:p>
    <w:p w14:paraId="3B6F1A12" w14:textId="304808B8" w:rsidR="001011D8" w:rsidRPr="00905DD7" w:rsidRDefault="00E61949" w:rsidP="0047645B">
      <w:pPr>
        <w:spacing w:before="400" w:after="80" w:line="240" w:lineRule="auto"/>
        <w:rPr>
          <w:b/>
          <w:sz w:val="24"/>
        </w:rPr>
      </w:pPr>
      <w:r w:rsidRPr="00905DD7">
        <w:rPr>
          <w:b/>
          <w:sz w:val="24"/>
        </w:rPr>
        <w:t>Notes and references</w:t>
      </w:r>
    </w:p>
    <w:p w14:paraId="067CF8F3" w14:textId="2DFC5BF8" w:rsidR="001011D8" w:rsidRPr="00905DD7" w:rsidRDefault="001011D8" w:rsidP="001011D8">
      <w:pPr>
        <w:pStyle w:val="RSCR01Footnotestomaintext"/>
      </w:pPr>
      <w:r w:rsidRPr="00905DD7">
        <w:t>Referenced data S1 – S4, detailed experimental information, IR spectra and TGA.</w:t>
      </w:r>
    </w:p>
    <w:p w14:paraId="320810F5" w14:textId="4031050F" w:rsidR="0026470D" w:rsidRPr="0026470D" w:rsidRDefault="000A265C" w:rsidP="0026470D">
      <w:pPr>
        <w:widowControl w:val="0"/>
        <w:autoSpaceDE w:val="0"/>
        <w:autoSpaceDN w:val="0"/>
        <w:adjustRightInd w:val="0"/>
        <w:spacing w:after="0" w:line="240" w:lineRule="exact"/>
        <w:ind w:left="640" w:hanging="640"/>
        <w:rPr>
          <w:rFonts w:ascii="Calibri" w:hAnsi="Calibri" w:cs="Calibri"/>
          <w:noProof/>
          <w:sz w:val="18"/>
        </w:rPr>
      </w:pPr>
      <w:r w:rsidRPr="00905DD7">
        <w:fldChar w:fldCharType="begin" w:fldLock="1"/>
      </w:r>
      <w:r w:rsidRPr="00905DD7">
        <w:instrText xml:space="preserve">ADDIN Mendeley Bibliography CSL_BIBLIOGRAPHY </w:instrText>
      </w:r>
      <w:r w:rsidRPr="00905DD7">
        <w:fldChar w:fldCharType="separate"/>
      </w:r>
      <w:r w:rsidR="0026470D" w:rsidRPr="0026470D">
        <w:rPr>
          <w:rFonts w:ascii="Calibri" w:hAnsi="Calibri" w:cs="Calibri"/>
          <w:noProof/>
          <w:sz w:val="18"/>
        </w:rPr>
        <w:t>1</w:t>
      </w:r>
      <w:r w:rsidR="0026470D" w:rsidRPr="0026470D">
        <w:rPr>
          <w:rFonts w:ascii="Calibri" w:hAnsi="Calibri" w:cs="Calibri"/>
          <w:noProof/>
          <w:sz w:val="18"/>
        </w:rPr>
        <w:tab/>
        <w:t xml:space="preserve">C. A. Angell, </w:t>
      </w:r>
      <w:r w:rsidR="0026470D" w:rsidRPr="0026470D">
        <w:rPr>
          <w:rFonts w:ascii="Calibri" w:hAnsi="Calibri" w:cs="Calibri"/>
          <w:i/>
          <w:iCs/>
          <w:noProof/>
          <w:sz w:val="18"/>
        </w:rPr>
        <w:t>J. Electrochem. Soc.</w:t>
      </w:r>
      <w:r w:rsidR="0026470D" w:rsidRPr="0026470D">
        <w:rPr>
          <w:rFonts w:ascii="Calibri" w:hAnsi="Calibri" w:cs="Calibri"/>
          <w:noProof/>
          <w:sz w:val="18"/>
        </w:rPr>
        <w:t xml:space="preserve">, 1965, </w:t>
      </w:r>
      <w:r w:rsidR="0026470D" w:rsidRPr="0026470D">
        <w:rPr>
          <w:rFonts w:ascii="Calibri" w:hAnsi="Calibri" w:cs="Calibri"/>
          <w:b/>
          <w:bCs/>
          <w:noProof/>
          <w:sz w:val="18"/>
        </w:rPr>
        <w:t>112</w:t>
      </w:r>
      <w:r w:rsidR="0026470D" w:rsidRPr="0026470D">
        <w:rPr>
          <w:rFonts w:ascii="Calibri" w:hAnsi="Calibri" w:cs="Calibri"/>
          <w:noProof/>
          <w:sz w:val="18"/>
        </w:rPr>
        <w:t>, 1224.</w:t>
      </w:r>
    </w:p>
    <w:p w14:paraId="7A7F5A2C"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w:t>
      </w:r>
      <w:r w:rsidRPr="0026470D">
        <w:rPr>
          <w:rFonts w:ascii="Calibri" w:hAnsi="Calibri" w:cs="Calibri"/>
          <w:noProof/>
          <w:sz w:val="18"/>
        </w:rPr>
        <w:tab/>
        <w:t xml:space="preserve">C. Austen Angell, Y. Ansari and Z. Zhao, </w:t>
      </w:r>
      <w:r w:rsidRPr="0026470D">
        <w:rPr>
          <w:rFonts w:ascii="Calibri" w:hAnsi="Calibri" w:cs="Calibri"/>
          <w:i/>
          <w:iCs/>
          <w:noProof/>
          <w:sz w:val="18"/>
        </w:rPr>
        <w:t>Faraday Discuss.</w:t>
      </w:r>
      <w:r w:rsidRPr="0026470D">
        <w:rPr>
          <w:rFonts w:ascii="Calibri" w:hAnsi="Calibri" w:cs="Calibri"/>
          <w:noProof/>
          <w:sz w:val="18"/>
        </w:rPr>
        <w:t xml:space="preserve">, 2012, </w:t>
      </w:r>
      <w:r w:rsidRPr="0026470D">
        <w:rPr>
          <w:rFonts w:ascii="Calibri" w:hAnsi="Calibri" w:cs="Calibri"/>
          <w:b/>
          <w:bCs/>
          <w:noProof/>
          <w:sz w:val="18"/>
        </w:rPr>
        <w:t>154</w:t>
      </w:r>
      <w:r w:rsidRPr="0026470D">
        <w:rPr>
          <w:rFonts w:ascii="Calibri" w:hAnsi="Calibri" w:cs="Calibri"/>
          <w:noProof/>
          <w:sz w:val="18"/>
        </w:rPr>
        <w:t>, 9–27.</w:t>
      </w:r>
    </w:p>
    <w:p w14:paraId="02B33BA8"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w:t>
      </w:r>
      <w:r w:rsidRPr="0026470D">
        <w:rPr>
          <w:rFonts w:ascii="Calibri" w:hAnsi="Calibri" w:cs="Calibri"/>
          <w:noProof/>
          <w:sz w:val="18"/>
        </w:rPr>
        <w:tab/>
        <w:t xml:space="preserve">F. Coleman, G. Srinivasan and M. Swadźba-Kwaśny, </w:t>
      </w:r>
      <w:r w:rsidRPr="0026470D">
        <w:rPr>
          <w:rFonts w:ascii="Calibri" w:hAnsi="Calibri" w:cs="Calibri"/>
          <w:i/>
          <w:iCs/>
          <w:noProof/>
          <w:sz w:val="18"/>
        </w:rPr>
        <w:t>Angew. Chemie - Int. Ed.</w:t>
      </w:r>
      <w:r w:rsidRPr="0026470D">
        <w:rPr>
          <w:rFonts w:ascii="Calibri" w:hAnsi="Calibri" w:cs="Calibri"/>
          <w:noProof/>
          <w:sz w:val="18"/>
        </w:rPr>
        <w:t xml:space="preserve">, 2013, </w:t>
      </w:r>
      <w:r w:rsidRPr="0026470D">
        <w:rPr>
          <w:rFonts w:ascii="Calibri" w:hAnsi="Calibri" w:cs="Calibri"/>
          <w:b/>
          <w:bCs/>
          <w:noProof/>
          <w:sz w:val="18"/>
        </w:rPr>
        <w:t>52</w:t>
      </w:r>
      <w:r w:rsidRPr="0026470D">
        <w:rPr>
          <w:rFonts w:ascii="Calibri" w:hAnsi="Calibri" w:cs="Calibri"/>
          <w:noProof/>
          <w:sz w:val="18"/>
        </w:rPr>
        <w:t>, 12582–12586.</w:t>
      </w:r>
    </w:p>
    <w:p w14:paraId="31043E4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w:t>
      </w:r>
      <w:r w:rsidRPr="0026470D">
        <w:rPr>
          <w:rFonts w:ascii="Calibri" w:hAnsi="Calibri" w:cs="Calibri"/>
          <w:noProof/>
          <w:sz w:val="18"/>
        </w:rPr>
        <w:tab/>
        <w:t xml:space="preserve">J. M. Hogg, L. C. Brown, K. Matuszek, P. Latos, A. Chrobok and M. Swadźba-Kwaśny, </w:t>
      </w:r>
      <w:r w:rsidRPr="0026470D">
        <w:rPr>
          <w:rFonts w:ascii="Calibri" w:hAnsi="Calibri" w:cs="Calibri"/>
          <w:i/>
          <w:iCs/>
          <w:noProof/>
          <w:sz w:val="18"/>
        </w:rPr>
        <w:t>Dalt. Trans.</w:t>
      </w:r>
      <w:r w:rsidRPr="0026470D">
        <w:rPr>
          <w:rFonts w:ascii="Calibri" w:hAnsi="Calibri" w:cs="Calibri"/>
          <w:noProof/>
          <w:sz w:val="18"/>
        </w:rPr>
        <w:t xml:space="preserve">, 2017, </w:t>
      </w:r>
      <w:r w:rsidRPr="0026470D">
        <w:rPr>
          <w:rFonts w:ascii="Calibri" w:hAnsi="Calibri" w:cs="Calibri"/>
          <w:b/>
          <w:bCs/>
          <w:noProof/>
          <w:sz w:val="18"/>
        </w:rPr>
        <w:t>46</w:t>
      </w:r>
      <w:r w:rsidRPr="0026470D">
        <w:rPr>
          <w:rFonts w:ascii="Calibri" w:hAnsi="Calibri" w:cs="Calibri"/>
          <w:noProof/>
          <w:sz w:val="18"/>
        </w:rPr>
        <w:t>, 11561–11574.</w:t>
      </w:r>
    </w:p>
    <w:p w14:paraId="0AD5DDA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w:t>
      </w:r>
      <w:r w:rsidRPr="0026470D">
        <w:rPr>
          <w:rFonts w:ascii="Calibri" w:hAnsi="Calibri" w:cs="Calibri"/>
          <w:noProof/>
          <w:sz w:val="18"/>
        </w:rPr>
        <w:tab/>
        <w:t xml:space="preserve">J. M. Hogg, F. Coleman, A. Ferrer-Ugalde, M. P. Atkins and M. Swadźba-Kwas̈ny, </w:t>
      </w:r>
      <w:r w:rsidRPr="0026470D">
        <w:rPr>
          <w:rFonts w:ascii="Calibri" w:hAnsi="Calibri" w:cs="Calibri"/>
          <w:i/>
          <w:iCs/>
          <w:noProof/>
          <w:sz w:val="18"/>
        </w:rPr>
        <w:t>Green Chem.</w:t>
      </w:r>
      <w:r w:rsidRPr="0026470D">
        <w:rPr>
          <w:rFonts w:ascii="Calibri" w:hAnsi="Calibri" w:cs="Calibri"/>
          <w:noProof/>
          <w:sz w:val="18"/>
        </w:rPr>
        <w:t xml:space="preserve">, 2015, </w:t>
      </w:r>
      <w:r w:rsidRPr="0026470D">
        <w:rPr>
          <w:rFonts w:ascii="Calibri" w:hAnsi="Calibri" w:cs="Calibri"/>
          <w:b/>
          <w:bCs/>
          <w:noProof/>
          <w:sz w:val="18"/>
        </w:rPr>
        <w:t>17</w:t>
      </w:r>
      <w:r w:rsidRPr="0026470D">
        <w:rPr>
          <w:rFonts w:ascii="Calibri" w:hAnsi="Calibri" w:cs="Calibri"/>
          <w:noProof/>
          <w:sz w:val="18"/>
        </w:rPr>
        <w:t>, 1831–1841.</w:t>
      </w:r>
    </w:p>
    <w:p w14:paraId="49A4E818"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w:t>
      </w:r>
      <w:r w:rsidRPr="0026470D">
        <w:rPr>
          <w:rFonts w:ascii="Calibri" w:hAnsi="Calibri" w:cs="Calibri"/>
          <w:noProof/>
          <w:sz w:val="18"/>
        </w:rPr>
        <w:tab/>
        <w:t xml:space="preserve">K. Matuszek, A. Chrobok, J. M. Hogg, F. Coleman and M. </w:t>
      </w:r>
      <w:r w:rsidRPr="0026470D">
        <w:rPr>
          <w:rFonts w:ascii="Calibri" w:hAnsi="Calibri" w:cs="Calibri"/>
          <w:noProof/>
          <w:sz w:val="18"/>
        </w:rPr>
        <w:lastRenderedPageBreak/>
        <w:t xml:space="preserve">Swadźba-Kwaśny, </w:t>
      </w:r>
      <w:r w:rsidRPr="0026470D">
        <w:rPr>
          <w:rFonts w:ascii="Calibri" w:hAnsi="Calibri" w:cs="Calibri"/>
          <w:i/>
          <w:iCs/>
          <w:noProof/>
          <w:sz w:val="18"/>
        </w:rPr>
        <w:t>Green Chem.</w:t>
      </w:r>
      <w:r w:rsidRPr="0026470D">
        <w:rPr>
          <w:rFonts w:ascii="Calibri" w:hAnsi="Calibri" w:cs="Calibri"/>
          <w:noProof/>
          <w:sz w:val="18"/>
        </w:rPr>
        <w:t xml:space="preserve">, 2015, </w:t>
      </w:r>
      <w:r w:rsidRPr="0026470D">
        <w:rPr>
          <w:rFonts w:ascii="Calibri" w:hAnsi="Calibri" w:cs="Calibri"/>
          <w:b/>
          <w:bCs/>
          <w:noProof/>
          <w:sz w:val="18"/>
        </w:rPr>
        <w:t>17</w:t>
      </w:r>
      <w:r w:rsidRPr="0026470D">
        <w:rPr>
          <w:rFonts w:ascii="Calibri" w:hAnsi="Calibri" w:cs="Calibri"/>
          <w:noProof/>
          <w:sz w:val="18"/>
        </w:rPr>
        <w:t>, 4255–4262.</w:t>
      </w:r>
    </w:p>
    <w:p w14:paraId="5668C2C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7</w:t>
      </w:r>
      <w:r w:rsidRPr="0026470D">
        <w:rPr>
          <w:rFonts w:ascii="Calibri" w:hAnsi="Calibri" w:cs="Calibri"/>
          <w:noProof/>
          <w:sz w:val="18"/>
        </w:rPr>
        <w:tab/>
        <w:t xml:space="preserve">M. Lijewski, J. M. Hogg, M. Swadźba-Kwaśny, P. Wasserscheid and M. Haumann, </w:t>
      </w:r>
      <w:r w:rsidRPr="0026470D">
        <w:rPr>
          <w:rFonts w:ascii="Calibri" w:hAnsi="Calibri" w:cs="Calibri"/>
          <w:i/>
          <w:iCs/>
          <w:noProof/>
          <w:sz w:val="18"/>
        </w:rPr>
        <w:t>RSC Adv.</w:t>
      </w:r>
      <w:r w:rsidRPr="0026470D">
        <w:rPr>
          <w:rFonts w:ascii="Calibri" w:hAnsi="Calibri" w:cs="Calibri"/>
          <w:noProof/>
          <w:sz w:val="18"/>
        </w:rPr>
        <w:t xml:space="preserve">, 2017, </w:t>
      </w:r>
      <w:r w:rsidRPr="0026470D">
        <w:rPr>
          <w:rFonts w:ascii="Calibri" w:hAnsi="Calibri" w:cs="Calibri"/>
          <w:b/>
          <w:bCs/>
          <w:noProof/>
          <w:sz w:val="18"/>
        </w:rPr>
        <w:t>7</w:t>
      </w:r>
      <w:r w:rsidRPr="0026470D">
        <w:rPr>
          <w:rFonts w:ascii="Calibri" w:hAnsi="Calibri" w:cs="Calibri"/>
          <w:noProof/>
          <w:sz w:val="18"/>
        </w:rPr>
        <w:t>, 27558–27563.</w:t>
      </w:r>
    </w:p>
    <w:p w14:paraId="0C06036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EA76DD">
        <w:rPr>
          <w:rFonts w:ascii="Calibri" w:hAnsi="Calibri" w:cs="Calibri"/>
          <w:noProof/>
          <w:sz w:val="18"/>
          <w:lang w:val="pl-PL"/>
        </w:rPr>
        <w:t>8</w:t>
      </w:r>
      <w:r w:rsidRPr="00EA76DD">
        <w:rPr>
          <w:rFonts w:ascii="Calibri" w:hAnsi="Calibri" w:cs="Calibri"/>
          <w:noProof/>
          <w:sz w:val="18"/>
          <w:lang w:val="pl-PL"/>
        </w:rPr>
        <w:tab/>
        <w:t xml:space="preserve">S. Kobayashi, M. Sugiura, H. Kitagawa and W. W. L. Lam, </w:t>
      </w:r>
      <w:r w:rsidRPr="00EA76DD">
        <w:rPr>
          <w:rFonts w:ascii="Calibri" w:hAnsi="Calibri" w:cs="Calibri"/>
          <w:i/>
          <w:iCs/>
          <w:noProof/>
          <w:sz w:val="18"/>
          <w:lang w:val="pl-PL"/>
        </w:rPr>
        <w:t xml:space="preserve">Chem. </w:t>
      </w:r>
      <w:r w:rsidRPr="0026470D">
        <w:rPr>
          <w:rFonts w:ascii="Calibri" w:hAnsi="Calibri" w:cs="Calibri"/>
          <w:i/>
          <w:iCs/>
          <w:noProof/>
          <w:sz w:val="18"/>
        </w:rPr>
        <w:t>Rev.</w:t>
      </w:r>
      <w:r w:rsidRPr="0026470D">
        <w:rPr>
          <w:rFonts w:ascii="Calibri" w:hAnsi="Calibri" w:cs="Calibri"/>
          <w:noProof/>
          <w:sz w:val="18"/>
        </w:rPr>
        <w:t xml:space="preserve">, 2002, </w:t>
      </w:r>
      <w:r w:rsidRPr="0026470D">
        <w:rPr>
          <w:rFonts w:ascii="Calibri" w:hAnsi="Calibri" w:cs="Calibri"/>
          <w:b/>
          <w:bCs/>
          <w:noProof/>
          <w:sz w:val="18"/>
        </w:rPr>
        <w:t>102</w:t>
      </w:r>
      <w:r w:rsidRPr="0026470D">
        <w:rPr>
          <w:rFonts w:ascii="Calibri" w:hAnsi="Calibri" w:cs="Calibri"/>
          <w:noProof/>
          <w:sz w:val="18"/>
        </w:rPr>
        <w:t>, 2227–2302.</w:t>
      </w:r>
    </w:p>
    <w:p w14:paraId="5DBD1A1F"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9</w:t>
      </w:r>
      <w:r w:rsidRPr="0026470D">
        <w:rPr>
          <w:rFonts w:ascii="Calibri" w:hAnsi="Calibri" w:cs="Calibri"/>
          <w:noProof/>
          <w:sz w:val="18"/>
        </w:rPr>
        <w:tab/>
        <w:t xml:space="preserve">L. Massi, J. F. Gal and E. Duñach, </w:t>
      </w:r>
      <w:r w:rsidRPr="0026470D">
        <w:rPr>
          <w:rFonts w:ascii="Calibri" w:hAnsi="Calibri" w:cs="Calibri"/>
          <w:i/>
          <w:iCs/>
          <w:noProof/>
          <w:sz w:val="18"/>
        </w:rPr>
        <w:t>Chempluschem</w:t>
      </w:r>
      <w:r w:rsidRPr="0026470D">
        <w:rPr>
          <w:rFonts w:ascii="Calibri" w:hAnsi="Calibri" w:cs="Calibri"/>
          <w:noProof/>
          <w:sz w:val="18"/>
        </w:rPr>
        <w:t xml:space="preserve">, 2022, </w:t>
      </w:r>
      <w:r w:rsidRPr="0026470D">
        <w:rPr>
          <w:rFonts w:ascii="Calibri" w:hAnsi="Calibri" w:cs="Calibri"/>
          <w:b/>
          <w:bCs/>
          <w:noProof/>
          <w:sz w:val="18"/>
        </w:rPr>
        <w:t>87</w:t>
      </w:r>
      <w:r w:rsidRPr="0026470D">
        <w:rPr>
          <w:rFonts w:ascii="Calibri" w:hAnsi="Calibri" w:cs="Calibri"/>
          <w:noProof/>
          <w:sz w:val="18"/>
        </w:rPr>
        <w:t>, e202200037.</w:t>
      </w:r>
    </w:p>
    <w:p w14:paraId="3AA00EB3"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10</w:t>
      </w:r>
      <w:r w:rsidRPr="0026470D">
        <w:rPr>
          <w:rFonts w:ascii="Calibri" w:hAnsi="Calibri" w:cs="Calibri"/>
          <w:noProof/>
          <w:sz w:val="18"/>
        </w:rPr>
        <w:tab/>
        <w:t xml:space="preserve">G. A. Olah, O. Farooq, S. M. F. Farnia and J. A. Olah, </w:t>
      </w:r>
      <w:r w:rsidRPr="0026470D">
        <w:rPr>
          <w:rFonts w:ascii="Calibri" w:hAnsi="Calibri" w:cs="Calibri"/>
          <w:i/>
          <w:iCs/>
          <w:noProof/>
          <w:sz w:val="18"/>
        </w:rPr>
        <w:t>J. Am. Chem. Soc.</w:t>
      </w:r>
      <w:r w:rsidRPr="0026470D">
        <w:rPr>
          <w:rFonts w:ascii="Calibri" w:hAnsi="Calibri" w:cs="Calibri"/>
          <w:noProof/>
          <w:sz w:val="18"/>
        </w:rPr>
        <w:t xml:space="preserve">, 1988, </w:t>
      </w:r>
      <w:r w:rsidRPr="0026470D">
        <w:rPr>
          <w:rFonts w:ascii="Calibri" w:hAnsi="Calibri" w:cs="Calibri"/>
          <w:b/>
          <w:bCs/>
          <w:noProof/>
          <w:sz w:val="18"/>
        </w:rPr>
        <w:t>110</w:t>
      </w:r>
      <w:r w:rsidRPr="0026470D">
        <w:rPr>
          <w:rFonts w:ascii="Calibri" w:hAnsi="Calibri" w:cs="Calibri"/>
          <w:noProof/>
          <w:sz w:val="18"/>
        </w:rPr>
        <w:t>, 2560–2565.</w:t>
      </w:r>
    </w:p>
    <w:p w14:paraId="2960B109"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11</w:t>
      </w:r>
      <w:r w:rsidRPr="0026470D">
        <w:rPr>
          <w:rFonts w:ascii="Calibri" w:hAnsi="Calibri" w:cs="Calibri"/>
          <w:noProof/>
          <w:sz w:val="18"/>
        </w:rPr>
        <w:tab/>
        <w:t xml:space="preserve">M. Distaso and E. Quaranta, </w:t>
      </w:r>
      <w:r w:rsidRPr="0026470D">
        <w:rPr>
          <w:rFonts w:ascii="Calibri" w:hAnsi="Calibri" w:cs="Calibri"/>
          <w:i/>
          <w:iCs/>
          <w:noProof/>
          <w:sz w:val="18"/>
        </w:rPr>
        <w:t>Tetrahedron</w:t>
      </w:r>
      <w:r w:rsidRPr="0026470D">
        <w:rPr>
          <w:rFonts w:ascii="Calibri" w:hAnsi="Calibri" w:cs="Calibri"/>
          <w:noProof/>
          <w:sz w:val="18"/>
        </w:rPr>
        <w:t xml:space="preserve">, 2004, </w:t>
      </w:r>
      <w:r w:rsidRPr="0026470D">
        <w:rPr>
          <w:rFonts w:ascii="Calibri" w:hAnsi="Calibri" w:cs="Calibri"/>
          <w:b/>
          <w:bCs/>
          <w:noProof/>
          <w:sz w:val="18"/>
        </w:rPr>
        <w:t>60</w:t>
      </w:r>
      <w:r w:rsidRPr="0026470D">
        <w:rPr>
          <w:rFonts w:ascii="Calibri" w:hAnsi="Calibri" w:cs="Calibri"/>
          <w:noProof/>
          <w:sz w:val="18"/>
        </w:rPr>
        <w:t>, 1531–1539.</w:t>
      </w:r>
    </w:p>
    <w:p w14:paraId="7D746F19"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12</w:t>
      </w:r>
      <w:r w:rsidRPr="0026470D">
        <w:rPr>
          <w:rFonts w:ascii="Calibri" w:hAnsi="Calibri" w:cs="Calibri"/>
          <w:noProof/>
          <w:sz w:val="18"/>
        </w:rPr>
        <w:tab/>
        <w:t xml:space="preserve">P. Latos, A. Culkin, N. Barteczko, S. Boncel, S. Jurczyk, L. C. Brown, P. Nockemann, A. Chrobok and M. Swadźba-Kwaśny, </w:t>
      </w:r>
      <w:r w:rsidRPr="0026470D">
        <w:rPr>
          <w:rFonts w:ascii="Calibri" w:hAnsi="Calibri" w:cs="Calibri"/>
          <w:i/>
          <w:iCs/>
          <w:noProof/>
          <w:sz w:val="18"/>
        </w:rPr>
        <w:t>Front. Chem.</w:t>
      </w:r>
      <w:r w:rsidRPr="0026470D">
        <w:rPr>
          <w:rFonts w:ascii="Calibri" w:hAnsi="Calibri" w:cs="Calibri"/>
          <w:noProof/>
          <w:sz w:val="18"/>
        </w:rPr>
        <w:t xml:space="preserve">, 2018, </w:t>
      </w:r>
      <w:r w:rsidRPr="0026470D">
        <w:rPr>
          <w:rFonts w:ascii="Calibri" w:hAnsi="Calibri" w:cs="Calibri"/>
          <w:b/>
          <w:bCs/>
          <w:noProof/>
          <w:sz w:val="18"/>
        </w:rPr>
        <w:t>6</w:t>
      </w:r>
      <w:r w:rsidRPr="0026470D">
        <w:rPr>
          <w:rFonts w:ascii="Calibri" w:hAnsi="Calibri" w:cs="Calibri"/>
          <w:noProof/>
          <w:sz w:val="18"/>
        </w:rPr>
        <w:t>, 1–15.</w:t>
      </w:r>
    </w:p>
    <w:p w14:paraId="76D70133"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13</w:t>
      </w:r>
      <w:r w:rsidRPr="0026470D">
        <w:rPr>
          <w:rFonts w:ascii="Calibri" w:hAnsi="Calibri" w:cs="Calibri"/>
          <w:noProof/>
          <w:sz w:val="18"/>
        </w:rPr>
        <w:tab/>
        <w:t xml:space="preserve">T. Tamura, T. Hachida, K. Yoshida, N. Tachikawa, K. Dokko and M. Watanabe, </w:t>
      </w:r>
      <w:r w:rsidRPr="0026470D">
        <w:rPr>
          <w:rFonts w:ascii="Calibri" w:hAnsi="Calibri" w:cs="Calibri"/>
          <w:i/>
          <w:iCs/>
          <w:noProof/>
          <w:sz w:val="18"/>
        </w:rPr>
        <w:t>J. Power Sources</w:t>
      </w:r>
      <w:r w:rsidRPr="0026470D">
        <w:rPr>
          <w:rFonts w:ascii="Calibri" w:hAnsi="Calibri" w:cs="Calibri"/>
          <w:noProof/>
          <w:sz w:val="18"/>
        </w:rPr>
        <w:t xml:space="preserve">, 2010, </w:t>
      </w:r>
      <w:r w:rsidRPr="0026470D">
        <w:rPr>
          <w:rFonts w:ascii="Calibri" w:hAnsi="Calibri" w:cs="Calibri"/>
          <w:b/>
          <w:bCs/>
          <w:noProof/>
          <w:sz w:val="18"/>
        </w:rPr>
        <w:t>195</w:t>
      </w:r>
      <w:r w:rsidRPr="0026470D">
        <w:rPr>
          <w:rFonts w:ascii="Calibri" w:hAnsi="Calibri" w:cs="Calibri"/>
          <w:noProof/>
          <w:sz w:val="18"/>
        </w:rPr>
        <w:t>, 6095–6100.</w:t>
      </w:r>
    </w:p>
    <w:p w14:paraId="3155E9C1"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14</w:t>
      </w:r>
      <w:r w:rsidRPr="0026470D">
        <w:rPr>
          <w:rFonts w:ascii="Calibri" w:hAnsi="Calibri" w:cs="Calibri"/>
          <w:noProof/>
          <w:sz w:val="18"/>
        </w:rPr>
        <w:tab/>
        <w:t xml:space="preserve">T. Mandai, K. Yoshida, K. Ueno, K. Dokko and M. Watanabe, </w:t>
      </w:r>
      <w:r w:rsidRPr="0026470D">
        <w:rPr>
          <w:rFonts w:ascii="Calibri" w:hAnsi="Calibri" w:cs="Calibri"/>
          <w:i/>
          <w:iCs/>
          <w:noProof/>
          <w:sz w:val="18"/>
        </w:rPr>
        <w:t>Phys. Chem. Chem. Phys.</w:t>
      </w:r>
      <w:r w:rsidRPr="0026470D">
        <w:rPr>
          <w:rFonts w:ascii="Calibri" w:hAnsi="Calibri" w:cs="Calibri"/>
          <w:noProof/>
          <w:sz w:val="18"/>
        </w:rPr>
        <w:t xml:space="preserve">, 2014, </w:t>
      </w:r>
      <w:r w:rsidRPr="0026470D">
        <w:rPr>
          <w:rFonts w:ascii="Calibri" w:hAnsi="Calibri" w:cs="Calibri"/>
          <w:b/>
          <w:bCs/>
          <w:noProof/>
          <w:sz w:val="18"/>
        </w:rPr>
        <w:t>16</w:t>
      </w:r>
      <w:r w:rsidRPr="0026470D">
        <w:rPr>
          <w:rFonts w:ascii="Calibri" w:hAnsi="Calibri" w:cs="Calibri"/>
          <w:noProof/>
          <w:sz w:val="18"/>
        </w:rPr>
        <w:t>, 8761–8772.</w:t>
      </w:r>
    </w:p>
    <w:p w14:paraId="47F55E11"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15</w:t>
      </w:r>
      <w:r w:rsidRPr="0026470D">
        <w:rPr>
          <w:rFonts w:ascii="Calibri" w:hAnsi="Calibri" w:cs="Calibri"/>
          <w:noProof/>
          <w:sz w:val="18"/>
        </w:rPr>
        <w:tab/>
        <w:t xml:space="preserve">T. Mandai, K. Yoshida, S. Tsuzuki, R. Nozawa, H. Masu, K. Ueno, K. Dokko and M. Watanabe, </w:t>
      </w:r>
      <w:r w:rsidRPr="0026470D">
        <w:rPr>
          <w:rFonts w:ascii="Calibri" w:hAnsi="Calibri" w:cs="Calibri"/>
          <w:i/>
          <w:iCs/>
          <w:noProof/>
          <w:sz w:val="18"/>
        </w:rPr>
        <w:t>J. Phys. Chem. B</w:t>
      </w:r>
      <w:r w:rsidRPr="0026470D">
        <w:rPr>
          <w:rFonts w:ascii="Calibri" w:hAnsi="Calibri" w:cs="Calibri"/>
          <w:noProof/>
          <w:sz w:val="18"/>
        </w:rPr>
        <w:t xml:space="preserve">, 2015, </w:t>
      </w:r>
      <w:r w:rsidRPr="0026470D">
        <w:rPr>
          <w:rFonts w:ascii="Calibri" w:hAnsi="Calibri" w:cs="Calibri"/>
          <w:b/>
          <w:bCs/>
          <w:noProof/>
          <w:sz w:val="18"/>
        </w:rPr>
        <w:t>119</w:t>
      </w:r>
      <w:r w:rsidRPr="0026470D">
        <w:rPr>
          <w:rFonts w:ascii="Calibri" w:hAnsi="Calibri" w:cs="Calibri"/>
          <w:noProof/>
          <w:sz w:val="18"/>
        </w:rPr>
        <w:t>, 1523–1534.</w:t>
      </w:r>
    </w:p>
    <w:p w14:paraId="2B267A8F"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16</w:t>
      </w:r>
      <w:r w:rsidRPr="0026470D">
        <w:rPr>
          <w:rFonts w:ascii="Calibri" w:hAnsi="Calibri" w:cs="Calibri"/>
          <w:noProof/>
          <w:sz w:val="18"/>
        </w:rPr>
        <w:tab/>
        <w:t xml:space="preserve">T. Tamura, K. Yoshida, T. Hachida, M. Tsuchiya, M. Nakamura, Y. Kazue, N. Tachikawa, K. Dokko and M. Watanabe, </w:t>
      </w:r>
      <w:r w:rsidRPr="0026470D">
        <w:rPr>
          <w:rFonts w:ascii="Calibri" w:hAnsi="Calibri" w:cs="Calibri"/>
          <w:i/>
          <w:iCs/>
          <w:noProof/>
          <w:sz w:val="18"/>
        </w:rPr>
        <w:t>Chem. Lett.</w:t>
      </w:r>
      <w:r w:rsidRPr="0026470D">
        <w:rPr>
          <w:rFonts w:ascii="Calibri" w:hAnsi="Calibri" w:cs="Calibri"/>
          <w:noProof/>
          <w:sz w:val="18"/>
        </w:rPr>
        <w:t xml:space="preserve">, 2010, </w:t>
      </w:r>
      <w:r w:rsidRPr="0026470D">
        <w:rPr>
          <w:rFonts w:ascii="Calibri" w:hAnsi="Calibri" w:cs="Calibri"/>
          <w:b/>
          <w:bCs/>
          <w:noProof/>
          <w:sz w:val="18"/>
        </w:rPr>
        <w:t>39</w:t>
      </w:r>
      <w:r w:rsidRPr="0026470D">
        <w:rPr>
          <w:rFonts w:ascii="Calibri" w:hAnsi="Calibri" w:cs="Calibri"/>
          <w:noProof/>
          <w:sz w:val="18"/>
        </w:rPr>
        <w:t>, 753–755.</w:t>
      </w:r>
    </w:p>
    <w:p w14:paraId="7E388541"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17</w:t>
      </w:r>
      <w:r w:rsidRPr="0026470D">
        <w:rPr>
          <w:rFonts w:ascii="Calibri" w:hAnsi="Calibri" w:cs="Calibri"/>
          <w:noProof/>
          <w:sz w:val="18"/>
        </w:rPr>
        <w:tab/>
        <w:t xml:space="preserve">C. Zhang, K. Ueno, A. Yamazaki, K. Yoshida, H. Moon, T. Mandai, Y. Umebayashi, K. Dokko and M. Watanabe, </w:t>
      </w:r>
      <w:r w:rsidRPr="0026470D">
        <w:rPr>
          <w:rFonts w:ascii="Calibri" w:hAnsi="Calibri" w:cs="Calibri"/>
          <w:i/>
          <w:iCs/>
          <w:noProof/>
          <w:sz w:val="18"/>
        </w:rPr>
        <w:t>J. Phys. Chem. B</w:t>
      </w:r>
      <w:r w:rsidRPr="0026470D">
        <w:rPr>
          <w:rFonts w:ascii="Calibri" w:hAnsi="Calibri" w:cs="Calibri"/>
          <w:noProof/>
          <w:sz w:val="18"/>
        </w:rPr>
        <w:t xml:space="preserve">, 2014, </w:t>
      </w:r>
      <w:r w:rsidRPr="0026470D">
        <w:rPr>
          <w:rFonts w:ascii="Calibri" w:hAnsi="Calibri" w:cs="Calibri"/>
          <w:b/>
          <w:bCs/>
          <w:noProof/>
          <w:sz w:val="18"/>
        </w:rPr>
        <w:t>118</w:t>
      </w:r>
      <w:r w:rsidRPr="0026470D">
        <w:rPr>
          <w:rFonts w:ascii="Calibri" w:hAnsi="Calibri" w:cs="Calibri"/>
          <w:noProof/>
          <w:sz w:val="18"/>
        </w:rPr>
        <w:t>, 5144–5153.</w:t>
      </w:r>
    </w:p>
    <w:p w14:paraId="595D0F7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18</w:t>
      </w:r>
      <w:r w:rsidRPr="0026470D">
        <w:rPr>
          <w:rFonts w:ascii="Calibri" w:hAnsi="Calibri" w:cs="Calibri"/>
          <w:noProof/>
          <w:sz w:val="18"/>
        </w:rPr>
        <w:tab/>
        <w:t xml:space="preserve">C. Zhang, A. Yamazaki, J. Murai, J. W. Park, T. Mandai, K. Ueno, K. Dokko and M. Watanabe, </w:t>
      </w:r>
      <w:r w:rsidRPr="0026470D">
        <w:rPr>
          <w:rFonts w:ascii="Calibri" w:hAnsi="Calibri" w:cs="Calibri"/>
          <w:i/>
          <w:iCs/>
          <w:noProof/>
          <w:sz w:val="18"/>
        </w:rPr>
        <w:t>J. Phys. Chem. C</w:t>
      </w:r>
      <w:r w:rsidRPr="0026470D">
        <w:rPr>
          <w:rFonts w:ascii="Calibri" w:hAnsi="Calibri" w:cs="Calibri"/>
          <w:noProof/>
          <w:sz w:val="18"/>
        </w:rPr>
        <w:t xml:space="preserve">, 2014, </w:t>
      </w:r>
      <w:r w:rsidRPr="0026470D">
        <w:rPr>
          <w:rFonts w:ascii="Calibri" w:hAnsi="Calibri" w:cs="Calibri"/>
          <w:b/>
          <w:bCs/>
          <w:noProof/>
          <w:sz w:val="18"/>
        </w:rPr>
        <w:t>118</w:t>
      </w:r>
      <w:r w:rsidRPr="0026470D">
        <w:rPr>
          <w:rFonts w:ascii="Calibri" w:hAnsi="Calibri" w:cs="Calibri"/>
          <w:noProof/>
          <w:sz w:val="18"/>
        </w:rPr>
        <w:t>, 17362–17373.</w:t>
      </w:r>
    </w:p>
    <w:p w14:paraId="6228186F"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19</w:t>
      </w:r>
      <w:r w:rsidRPr="0026470D">
        <w:rPr>
          <w:rFonts w:ascii="Calibri" w:hAnsi="Calibri" w:cs="Calibri"/>
          <w:noProof/>
          <w:sz w:val="18"/>
        </w:rPr>
        <w:tab/>
        <w:t xml:space="preserve">H. Hirayama, N. Tachikawa, K. Yoshii, M. Watanabe and Y. Katayama, </w:t>
      </w:r>
      <w:r w:rsidRPr="0026470D">
        <w:rPr>
          <w:rFonts w:ascii="Calibri" w:hAnsi="Calibri" w:cs="Calibri"/>
          <w:i/>
          <w:iCs/>
          <w:noProof/>
          <w:sz w:val="18"/>
        </w:rPr>
        <w:t>Electrochemistry</w:t>
      </w:r>
      <w:r w:rsidRPr="0026470D">
        <w:rPr>
          <w:rFonts w:ascii="Calibri" w:hAnsi="Calibri" w:cs="Calibri"/>
          <w:noProof/>
          <w:sz w:val="18"/>
        </w:rPr>
        <w:t xml:space="preserve">, 2015, </w:t>
      </w:r>
      <w:r w:rsidRPr="0026470D">
        <w:rPr>
          <w:rFonts w:ascii="Calibri" w:hAnsi="Calibri" w:cs="Calibri"/>
          <w:b/>
          <w:bCs/>
          <w:noProof/>
          <w:sz w:val="18"/>
        </w:rPr>
        <w:t>83</w:t>
      </w:r>
      <w:r w:rsidRPr="0026470D">
        <w:rPr>
          <w:rFonts w:ascii="Calibri" w:hAnsi="Calibri" w:cs="Calibri"/>
          <w:noProof/>
          <w:sz w:val="18"/>
        </w:rPr>
        <w:t>, 824–827.</w:t>
      </w:r>
    </w:p>
    <w:p w14:paraId="373E34F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20</w:t>
      </w:r>
      <w:r w:rsidRPr="0026470D">
        <w:rPr>
          <w:rFonts w:ascii="Calibri" w:hAnsi="Calibri" w:cs="Calibri"/>
          <w:noProof/>
          <w:sz w:val="18"/>
        </w:rPr>
        <w:tab/>
        <w:t xml:space="preserve">K. Ueno, J. Murai, K. Ikeda, S. Tsuzuki, M. Tsuchiya, R. Tatara, T. Mandai, Y. Umebayashi, K. Dokko and M. Watanabe, </w:t>
      </w:r>
      <w:r w:rsidRPr="0026470D">
        <w:rPr>
          <w:rFonts w:ascii="Calibri" w:hAnsi="Calibri" w:cs="Calibri"/>
          <w:i/>
          <w:iCs/>
          <w:noProof/>
          <w:sz w:val="18"/>
        </w:rPr>
        <w:t>J. Phys. Chem. C</w:t>
      </w:r>
      <w:r w:rsidRPr="0026470D">
        <w:rPr>
          <w:rFonts w:ascii="Calibri" w:hAnsi="Calibri" w:cs="Calibri"/>
          <w:noProof/>
          <w:sz w:val="18"/>
        </w:rPr>
        <w:t xml:space="preserve">, 2016, </w:t>
      </w:r>
      <w:r w:rsidRPr="0026470D">
        <w:rPr>
          <w:rFonts w:ascii="Calibri" w:hAnsi="Calibri" w:cs="Calibri"/>
          <w:b/>
          <w:bCs/>
          <w:noProof/>
          <w:sz w:val="18"/>
        </w:rPr>
        <w:t>120</w:t>
      </w:r>
      <w:r w:rsidRPr="0026470D">
        <w:rPr>
          <w:rFonts w:ascii="Calibri" w:hAnsi="Calibri" w:cs="Calibri"/>
          <w:noProof/>
          <w:sz w:val="18"/>
        </w:rPr>
        <w:t>, 15792–15802.</w:t>
      </w:r>
    </w:p>
    <w:p w14:paraId="68839F81"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21</w:t>
      </w:r>
      <w:r w:rsidRPr="0026470D">
        <w:rPr>
          <w:rFonts w:ascii="Calibri" w:hAnsi="Calibri" w:cs="Calibri"/>
          <w:noProof/>
          <w:sz w:val="18"/>
        </w:rPr>
        <w:tab/>
        <w:t xml:space="preserve">M. Watanabe, K. Dokko, K. Ueno and M. L. Thomas, </w:t>
      </w:r>
      <w:r w:rsidRPr="0026470D">
        <w:rPr>
          <w:rFonts w:ascii="Calibri" w:hAnsi="Calibri" w:cs="Calibri"/>
          <w:i/>
          <w:iCs/>
          <w:noProof/>
          <w:sz w:val="18"/>
        </w:rPr>
        <w:t>Bull. Chem. Soc. Jpn.</w:t>
      </w:r>
      <w:r w:rsidRPr="0026470D">
        <w:rPr>
          <w:rFonts w:ascii="Calibri" w:hAnsi="Calibri" w:cs="Calibri"/>
          <w:noProof/>
          <w:sz w:val="18"/>
        </w:rPr>
        <w:t xml:space="preserve">, 2018, </w:t>
      </w:r>
      <w:r w:rsidRPr="0026470D">
        <w:rPr>
          <w:rFonts w:ascii="Calibri" w:hAnsi="Calibri" w:cs="Calibri"/>
          <w:b/>
          <w:bCs/>
          <w:noProof/>
          <w:sz w:val="18"/>
        </w:rPr>
        <w:t>91</w:t>
      </w:r>
      <w:r w:rsidRPr="0026470D">
        <w:rPr>
          <w:rFonts w:ascii="Calibri" w:hAnsi="Calibri" w:cs="Calibri"/>
          <w:noProof/>
          <w:sz w:val="18"/>
        </w:rPr>
        <w:t>, 1660–1682.</w:t>
      </w:r>
    </w:p>
    <w:p w14:paraId="1C8B10A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22</w:t>
      </w:r>
      <w:r w:rsidRPr="0026470D">
        <w:rPr>
          <w:rFonts w:ascii="Calibri" w:hAnsi="Calibri" w:cs="Calibri"/>
          <w:noProof/>
          <w:sz w:val="18"/>
        </w:rPr>
        <w:tab/>
        <w:t xml:space="preserve">Z. Yu, C. Fang, J. Huang, B. G. Sumpter and R. Qiao, </w:t>
      </w:r>
      <w:r w:rsidRPr="0026470D">
        <w:rPr>
          <w:rFonts w:ascii="Calibri" w:hAnsi="Calibri" w:cs="Calibri"/>
          <w:i/>
          <w:iCs/>
          <w:noProof/>
          <w:sz w:val="18"/>
        </w:rPr>
        <w:t>ACS Appl. Mater. Interfaces</w:t>
      </w:r>
      <w:r w:rsidRPr="0026470D">
        <w:rPr>
          <w:rFonts w:ascii="Calibri" w:hAnsi="Calibri" w:cs="Calibri"/>
          <w:noProof/>
          <w:sz w:val="18"/>
        </w:rPr>
        <w:t xml:space="preserve">, 2018, </w:t>
      </w:r>
      <w:r w:rsidRPr="0026470D">
        <w:rPr>
          <w:rFonts w:ascii="Calibri" w:hAnsi="Calibri" w:cs="Calibri"/>
          <w:b/>
          <w:bCs/>
          <w:noProof/>
          <w:sz w:val="18"/>
        </w:rPr>
        <w:t>10</w:t>
      </w:r>
      <w:r w:rsidRPr="0026470D">
        <w:rPr>
          <w:rFonts w:ascii="Calibri" w:hAnsi="Calibri" w:cs="Calibri"/>
          <w:noProof/>
          <w:sz w:val="18"/>
        </w:rPr>
        <w:t>, 32151–32161.</w:t>
      </w:r>
    </w:p>
    <w:p w14:paraId="1E0A82A7"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23</w:t>
      </w:r>
      <w:r w:rsidRPr="0026470D">
        <w:rPr>
          <w:rFonts w:ascii="Calibri" w:hAnsi="Calibri" w:cs="Calibri"/>
          <w:noProof/>
          <w:sz w:val="18"/>
        </w:rPr>
        <w:tab/>
        <w:t xml:space="preserve">S. Terada, K. Ikeda, K. Ueno, K. Dokko and M. Watanabe, </w:t>
      </w:r>
      <w:r w:rsidRPr="0026470D">
        <w:rPr>
          <w:rFonts w:ascii="Calibri" w:hAnsi="Calibri" w:cs="Calibri"/>
          <w:i/>
          <w:iCs/>
          <w:noProof/>
          <w:sz w:val="18"/>
        </w:rPr>
        <w:t>Aust. J. Chem.</w:t>
      </w:r>
      <w:r w:rsidRPr="0026470D">
        <w:rPr>
          <w:rFonts w:ascii="Calibri" w:hAnsi="Calibri" w:cs="Calibri"/>
          <w:noProof/>
          <w:sz w:val="18"/>
        </w:rPr>
        <w:t xml:space="preserve">, 2019, </w:t>
      </w:r>
      <w:r w:rsidRPr="0026470D">
        <w:rPr>
          <w:rFonts w:ascii="Calibri" w:hAnsi="Calibri" w:cs="Calibri"/>
          <w:b/>
          <w:bCs/>
          <w:noProof/>
          <w:sz w:val="18"/>
        </w:rPr>
        <w:t>72</w:t>
      </w:r>
      <w:r w:rsidRPr="0026470D">
        <w:rPr>
          <w:rFonts w:ascii="Calibri" w:hAnsi="Calibri" w:cs="Calibri"/>
          <w:noProof/>
          <w:sz w:val="18"/>
        </w:rPr>
        <w:t>, 70–80.</w:t>
      </w:r>
    </w:p>
    <w:p w14:paraId="14430C0C"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24</w:t>
      </w:r>
      <w:r w:rsidRPr="0026470D">
        <w:rPr>
          <w:rFonts w:ascii="Calibri" w:hAnsi="Calibri" w:cs="Calibri"/>
          <w:noProof/>
          <w:sz w:val="18"/>
        </w:rPr>
        <w:tab/>
        <w:t xml:space="preserve">S. Wei, Z. Li, K. Kimura, S. Inoue, L. Pandini, D. Di Lecce, Y. Tominaga and J. Hassoun, </w:t>
      </w:r>
      <w:r w:rsidRPr="0026470D">
        <w:rPr>
          <w:rFonts w:ascii="Calibri" w:hAnsi="Calibri" w:cs="Calibri"/>
          <w:i/>
          <w:iCs/>
          <w:noProof/>
          <w:sz w:val="18"/>
        </w:rPr>
        <w:t>Electrochim. Acta</w:t>
      </w:r>
      <w:r w:rsidRPr="0026470D">
        <w:rPr>
          <w:rFonts w:ascii="Calibri" w:hAnsi="Calibri" w:cs="Calibri"/>
          <w:noProof/>
          <w:sz w:val="18"/>
        </w:rPr>
        <w:t xml:space="preserve">, 2019, </w:t>
      </w:r>
      <w:r w:rsidRPr="0026470D">
        <w:rPr>
          <w:rFonts w:ascii="Calibri" w:hAnsi="Calibri" w:cs="Calibri"/>
          <w:b/>
          <w:bCs/>
          <w:noProof/>
          <w:sz w:val="18"/>
        </w:rPr>
        <w:t>306</w:t>
      </w:r>
      <w:r w:rsidRPr="0026470D">
        <w:rPr>
          <w:rFonts w:ascii="Calibri" w:hAnsi="Calibri" w:cs="Calibri"/>
          <w:noProof/>
          <w:sz w:val="18"/>
        </w:rPr>
        <w:t>, 85–95.</w:t>
      </w:r>
    </w:p>
    <w:p w14:paraId="6B31F7D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25</w:t>
      </w:r>
      <w:r w:rsidRPr="0026470D">
        <w:rPr>
          <w:rFonts w:ascii="Calibri" w:hAnsi="Calibri" w:cs="Calibri"/>
          <w:noProof/>
          <w:sz w:val="18"/>
        </w:rPr>
        <w:tab/>
        <w:t xml:space="preserve">D. J. Eyckens and L. C. Henderson, </w:t>
      </w:r>
      <w:r w:rsidRPr="0026470D">
        <w:rPr>
          <w:rFonts w:ascii="Calibri" w:hAnsi="Calibri" w:cs="Calibri"/>
          <w:i/>
          <w:iCs/>
          <w:noProof/>
          <w:sz w:val="18"/>
        </w:rPr>
        <w:t>Front. Chem.</w:t>
      </w:r>
      <w:r w:rsidRPr="0026470D">
        <w:rPr>
          <w:rFonts w:ascii="Calibri" w:hAnsi="Calibri" w:cs="Calibri"/>
          <w:noProof/>
          <w:sz w:val="18"/>
        </w:rPr>
        <w:t xml:space="preserve">, 2019, </w:t>
      </w:r>
      <w:r w:rsidRPr="0026470D">
        <w:rPr>
          <w:rFonts w:ascii="Calibri" w:hAnsi="Calibri" w:cs="Calibri"/>
          <w:b/>
          <w:bCs/>
          <w:noProof/>
          <w:sz w:val="18"/>
        </w:rPr>
        <w:t>7</w:t>
      </w:r>
      <w:r w:rsidRPr="0026470D">
        <w:rPr>
          <w:rFonts w:ascii="Calibri" w:hAnsi="Calibri" w:cs="Calibri"/>
          <w:noProof/>
          <w:sz w:val="18"/>
        </w:rPr>
        <w:t>, 1–15.</w:t>
      </w:r>
    </w:p>
    <w:p w14:paraId="76FE820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26</w:t>
      </w:r>
      <w:r w:rsidRPr="0026470D">
        <w:rPr>
          <w:rFonts w:ascii="Calibri" w:hAnsi="Calibri" w:cs="Calibri"/>
          <w:noProof/>
          <w:sz w:val="18"/>
        </w:rPr>
        <w:tab/>
        <w:t xml:space="preserve">D. J. Eyckens, M. E. Champion, B. L. Fox, P. Yoganantharajah, Y. Gibert, T. Welton and L. C. Henderson, </w:t>
      </w:r>
      <w:r w:rsidRPr="0026470D">
        <w:rPr>
          <w:rFonts w:ascii="Calibri" w:hAnsi="Calibri" w:cs="Calibri"/>
          <w:i/>
          <w:iCs/>
          <w:noProof/>
          <w:sz w:val="18"/>
        </w:rPr>
        <w:t>European J. Org. Chem.</w:t>
      </w:r>
      <w:r w:rsidRPr="0026470D">
        <w:rPr>
          <w:rFonts w:ascii="Calibri" w:hAnsi="Calibri" w:cs="Calibri"/>
          <w:noProof/>
          <w:sz w:val="18"/>
        </w:rPr>
        <w:t xml:space="preserve">, 2016, </w:t>
      </w:r>
      <w:r w:rsidRPr="0026470D">
        <w:rPr>
          <w:rFonts w:ascii="Calibri" w:hAnsi="Calibri" w:cs="Calibri"/>
          <w:b/>
          <w:bCs/>
          <w:noProof/>
          <w:sz w:val="18"/>
        </w:rPr>
        <w:t>2016</w:t>
      </w:r>
      <w:r w:rsidRPr="0026470D">
        <w:rPr>
          <w:rFonts w:ascii="Calibri" w:hAnsi="Calibri" w:cs="Calibri"/>
          <w:noProof/>
          <w:sz w:val="18"/>
        </w:rPr>
        <w:t>, 913–917.</w:t>
      </w:r>
    </w:p>
    <w:p w14:paraId="1CCFD902"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27</w:t>
      </w:r>
      <w:r w:rsidRPr="0026470D">
        <w:rPr>
          <w:rFonts w:ascii="Calibri" w:hAnsi="Calibri" w:cs="Calibri"/>
          <w:noProof/>
          <w:sz w:val="18"/>
        </w:rPr>
        <w:tab/>
        <w:t xml:space="preserve">A. Obregón-Zúñiga, M. Milán and E. Juaristi, </w:t>
      </w:r>
      <w:r w:rsidRPr="0026470D">
        <w:rPr>
          <w:rFonts w:ascii="Calibri" w:hAnsi="Calibri" w:cs="Calibri"/>
          <w:i/>
          <w:iCs/>
          <w:noProof/>
          <w:sz w:val="18"/>
        </w:rPr>
        <w:t>Org. Lett.</w:t>
      </w:r>
      <w:r w:rsidRPr="0026470D">
        <w:rPr>
          <w:rFonts w:ascii="Calibri" w:hAnsi="Calibri" w:cs="Calibri"/>
          <w:noProof/>
          <w:sz w:val="18"/>
        </w:rPr>
        <w:t xml:space="preserve">, 2017, </w:t>
      </w:r>
      <w:r w:rsidRPr="0026470D">
        <w:rPr>
          <w:rFonts w:ascii="Calibri" w:hAnsi="Calibri" w:cs="Calibri"/>
          <w:b/>
          <w:bCs/>
          <w:noProof/>
          <w:sz w:val="18"/>
        </w:rPr>
        <w:t>19</w:t>
      </w:r>
      <w:r w:rsidRPr="0026470D">
        <w:rPr>
          <w:rFonts w:ascii="Calibri" w:hAnsi="Calibri" w:cs="Calibri"/>
          <w:noProof/>
          <w:sz w:val="18"/>
        </w:rPr>
        <w:t>, 1108–1111.</w:t>
      </w:r>
    </w:p>
    <w:p w14:paraId="6CC4E2B0"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28</w:t>
      </w:r>
      <w:r w:rsidRPr="0026470D">
        <w:rPr>
          <w:rFonts w:ascii="Calibri" w:hAnsi="Calibri" w:cs="Calibri"/>
          <w:noProof/>
          <w:sz w:val="18"/>
        </w:rPr>
        <w:tab/>
        <w:t xml:space="preserve">D. J. Eyckens and L. C. Henderson, </w:t>
      </w:r>
      <w:r w:rsidRPr="0026470D">
        <w:rPr>
          <w:rFonts w:ascii="Calibri" w:hAnsi="Calibri" w:cs="Calibri"/>
          <w:i/>
          <w:iCs/>
          <w:noProof/>
          <w:sz w:val="18"/>
        </w:rPr>
        <w:t>RSC Adv.</w:t>
      </w:r>
      <w:r w:rsidRPr="0026470D">
        <w:rPr>
          <w:rFonts w:ascii="Calibri" w:hAnsi="Calibri" w:cs="Calibri"/>
          <w:noProof/>
          <w:sz w:val="18"/>
        </w:rPr>
        <w:t xml:space="preserve">, 2017, </w:t>
      </w:r>
      <w:r w:rsidRPr="0026470D">
        <w:rPr>
          <w:rFonts w:ascii="Calibri" w:hAnsi="Calibri" w:cs="Calibri"/>
          <w:b/>
          <w:bCs/>
          <w:noProof/>
          <w:sz w:val="18"/>
        </w:rPr>
        <w:t>7</w:t>
      </w:r>
      <w:r w:rsidRPr="0026470D">
        <w:rPr>
          <w:rFonts w:ascii="Calibri" w:hAnsi="Calibri" w:cs="Calibri"/>
          <w:noProof/>
          <w:sz w:val="18"/>
        </w:rPr>
        <w:t>, 27900–27904.</w:t>
      </w:r>
    </w:p>
    <w:p w14:paraId="58396648"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29</w:t>
      </w:r>
      <w:r w:rsidRPr="0026470D">
        <w:rPr>
          <w:rFonts w:ascii="Calibri" w:hAnsi="Calibri" w:cs="Calibri"/>
          <w:noProof/>
          <w:sz w:val="18"/>
        </w:rPr>
        <w:tab/>
        <w:t xml:space="preserve">S. Di Pietro, V. Bordoni, A. Mezzetta, C. Chiappe, G. Signore, L. Guazzelli and V. Di Bussolo, </w:t>
      </w:r>
      <w:r w:rsidRPr="0026470D">
        <w:rPr>
          <w:rFonts w:ascii="Calibri" w:hAnsi="Calibri" w:cs="Calibri"/>
          <w:i/>
          <w:iCs/>
          <w:noProof/>
          <w:sz w:val="18"/>
        </w:rPr>
        <w:t>Molecules</w:t>
      </w:r>
      <w:r w:rsidRPr="0026470D">
        <w:rPr>
          <w:rFonts w:ascii="Calibri" w:hAnsi="Calibri" w:cs="Calibri"/>
          <w:noProof/>
          <w:sz w:val="18"/>
        </w:rPr>
        <w:t xml:space="preserve">, 2019, </w:t>
      </w:r>
      <w:r w:rsidRPr="0026470D">
        <w:rPr>
          <w:rFonts w:ascii="Calibri" w:hAnsi="Calibri" w:cs="Calibri"/>
          <w:b/>
          <w:bCs/>
          <w:noProof/>
          <w:sz w:val="18"/>
        </w:rPr>
        <w:t>24</w:t>
      </w:r>
      <w:r w:rsidRPr="0026470D">
        <w:rPr>
          <w:rFonts w:ascii="Calibri" w:hAnsi="Calibri" w:cs="Calibri"/>
          <w:noProof/>
          <w:sz w:val="18"/>
        </w:rPr>
        <w:t xml:space="preserve">, </w:t>
      </w:r>
      <w:r w:rsidRPr="0026470D">
        <w:rPr>
          <w:rFonts w:ascii="Calibri" w:hAnsi="Calibri" w:cs="Calibri"/>
          <w:noProof/>
          <w:sz w:val="18"/>
        </w:rPr>
        <w:t>1–9.</w:t>
      </w:r>
    </w:p>
    <w:p w14:paraId="2D15CB2C"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30</w:t>
      </w:r>
      <w:r w:rsidRPr="0026470D">
        <w:rPr>
          <w:rFonts w:ascii="Calibri" w:hAnsi="Calibri" w:cs="Calibri"/>
          <w:noProof/>
          <w:sz w:val="18"/>
        </w:rPr>
        <w:tab/>
        <w:t xml:space="preserve">N. Hameed, D. J. Eyckens, B. M. Long, N. V. Salim, J. C. Capricho, L. Servinis, M. De Souza, M. D. Perus, R. J. Varley and L. C. Henderson, </w:t>
      </w:r>
      <w:r w:rsidRPr="0026470D">
        <w:rPr>
          <w:rFonts w:ascii="Calibri" w:hAnsi="Calibri" w:cs="Calibri"/>
          <w:i/>
          <w:iCs/>
          <w:noProof/>
          <w:sz w:val="18"/>
        </w:rPr>
        <w:t>ACS Appl. Polym. Mater.</w:t>
      </w:r>
      <w:r w:rsidRPr="0026470D">
        <w:rPr>
          <w:rFonts w:ascii="Calibri" w:hAnsi="Calibri" w:cs="Calibri"/>
          <w:noProof/>
          <w:sz w:val="18"/>
        </w:rPr>
        <w:t xml:space="preserve">, 2020, </w:t>
      </w:r>
      <w:r w:rsidRPr="0026470D">
        <w:rPr>
          <w:rFonts w:ascii="Calibri" w:hAnsi="Calibri" w:cs="Calibri"/>
          <w:b/>
          <w:bCs/>
          <w:noProof/>
          <w:sz w:val="18"/>
        </w:rPr>
        <w:t>2</w:t>
      </w:r>
      <w:r w:rsidRPr="0026470D">
        <w:rPr>
          <w:rFonts w:ascii="Calibri" w:hAnsi="Calibri" w:cs="Calibri"/>
          <w:noProof/>
          <w:sz w:val="18"/>
        </w:rPr>
        <w:t>, 2651–2657.</w:t>
      </w:r>
    </w:p>
    <w:p w14:paraId="382029D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31</w:t>
      </w:r>
      <w:r w:rsidRPr="0026470D">
        <w:rPr>
          <w:rFonts w:ascii="Calibri" w:hAnsi="Calibri" w:cs="Calibri"/>
          <w:noProof/>
          <w:sz w:val="18"/>
        </w:rPr>
        <w:tab/>
        <w:t xml:space="preserve">T. Mandai, K. Dokko and M. Watanabe, </w:t>
      </w:r>
      <w:r w:rsidRPr="0026470D">
        <w:rPr>
          <w:rFonts w:ascii="Calibri" w:hAnsi="Calibri" w:cs="Calibri"/>
          <w:i/>
          <w:iCs/>
          <w:noProof/>
          <w:sz w:val="18"/>
        </w:rPr>
        <w:t>Chem. Rec.</w:t>
      </w:r>
      <w:r w:rsidRPr="0026470D">
        <w:rPr>
          <w:rFonts w:ascii="Calibri" w:hAnsi="Calibri" w:cs="Calibri"/>
          <w:noProof/>
          <w:sz w:val="18"/>
        </w:rPr>
        <w:t xml:space="preserve">, 2019, </w:t>
      </w:r>
      <w:r w:rsidRPr="0026470D">
        <w:rPr>
          <w:rFonts w:ascii="Calibri" w:hAnsi="Calibri" w:cs="Calibri"/>
          <w:b/>
          <w:bCs/>
          <w:noProof/>
          <w:sz w:val="18"/>
        </w:rPr>
        <w:t>19</w:t>
      </w:r>
      <w:r w:rsidRPr="0026470D">
        <w:rPr>
          <w:rFonts w:ascii="Calibri" w:hAnsi="Calibri" w:cs="Calibri"/>
          <w:noProof/>
          <w:sz w:val="18"/>
        </w:rPr>
        <w:t>, 708–722.</w:t>
      </w:r>
    </w:p>
    <w:p w14:paraId="44F28C5A"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32</w:t>
      </w:r>
      <w:r w:rsidRPr="0026470D">
        <w:rPr>
          <w:rFonts w:ascii="Calibri" w:hAnsi="Calibri" w:cs="Calibri"/>
          <w:noProof/>
          <w:sz w:val="18"/>
        </w:rPr>
        <w:tab/>
        <w:t xml:space="preserve">Z. Ma, M. Forsyth, D. R. MacFarlane and M. Kar, </w:t>
      </w:r>
      <w:r w:rsidRPr="0026470D">
        <w:rPr>
          <w:rFonts w:ascii="Calibri" w:hAnsi="Calibri" w:cs="Calibri"/>
          <w:i/>
          <w:iCs/>
          <w:noProof/>
          <w:sz w:val="18"/>
        </w:rPr>
        <w:t>Green Energy Environ.</w:t>
      </w:r>
      <w:r w:rsidRPr="0026470D">
        <w:rPr>
          <w:rFonts w:ascii="Calibri" w:hAnsi="Calibri" w:cs="Calibri"/>
          <w:noProof/>
          <w:sz w:val="18"/>
        </w:rPr>
        <w:t xml:space="preserve">, 2019, </w:t>
      </w:r>
      <w:r w:rsidRPr="0026470D">
        <w:rPr>
          <w:rFonts w:ascii="Calibri" w:hAnsi="Calibri" w:cs="Calibri"/>
          <w:b/>
          <w:bCs/>
          <w:noProof/>
          <w:sz w:val="18"/>
        </w:rPr>
        <w:t>4</w:t>
      </w:r>
      <w:r w:rsidRPr="0026470D">
        <w:rPr>
          <w:rFonts w:ascii="Calibri" w:hAnsi="Calibri" w:cs="Calibri"/>
          <w:noProof/>
          <w:sz w:val="18"/>
        </w:rPr>
        <w:t>, 146–153.</w:t>
      </w:r>
    </w:p>
    <w:p w14:paraId="27FF31B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33</w:t>
      </w:r>
      <w:r w:rsidRPr="0026470D">
        <w:rPr>
          <w:rFonts w:ascii="Calibri" w:hAnsi="Calibri" w:cs="Calibri"/>
          <w:noProof/>
          <w:sz w:val="18"/>
        </w:rPr>
        <w:tab/>
        <w:t xml:space="preserve">K. Matuszek, A. Chrobok, F. Coleman, K. R. Seddon and M. Swadźba-Kwaśny, </w:t>
      </w:r>
      <w:r w:rsidRPr="0026470D">
        <w:rPr>
          <w:rFonts w:ascii="Calibri" w:hAnsi="Calibri" w:cs="Calibri"/>
          <w:i/>
          <w:iCs/>
          <w:noProof/>
          <w:sz w:val="18"/>
        </w:rPr>
        <w:t>Green Chem.</w:t>
      </w:r>
      <w:r w:rsidRPr="0026470D">
        <w:rPr>
          <w:rFonts w:ascii="Calibri" w:hAnsi="Calibri" w:cs="Calibri"/>
          <w:noProof/>
          <w:sz w:val="18"/>
        </w:rPr>
        <w:t xml:space="preserve">, 2014, </w:t>
      </w:r>
      <w:r w:rsidRPr="0026470D">
        <w:rPr>
          <w:rFonts w:ascii="Calibri" w:hAnsi="Calibri" w:cs="Calibri"/>
          <w:b/>
          <w:bCs/>
          <w:noProof/>
          <w:sz w:val="18"/>
        </w:rPr>
        <w:t>16</w:t>
      </w:r>
      <w:r w:rsidRPr="0026470D">
        <w:rPr>
          <w:rFonts w:ascii="Calibri" w:hAnsi="Calibri" w:cs="Calibri"/>
          <w:noProof/>
          <w:sz w:val="18"/>
        </w:rPr>
        <w:t>, 3463–3471.</w:t>
      </w:r>
    </w:p>
    <w:p w14:paraId="0422E4DE" w14:textId="77777777" w:rsidR="0026470D" w:rsidRPr="00EA76DD" w:rsidRDefault="0026470D" w:rsidP="0026470D">
      <w:pPr>
        <w:widowControl w:val="0"/>
        <w:autoSpaceDE w:val="0"/>
        <w:autoSpaceDN w:val="0"/>
        <w:adjustRightInd w:val="0"/>
        <w:spacing w:after="0" w:line="240" w:lineRule="exact"/>
        <w:ind w:left="640" w:hanging="640"/>
        <w:rPr>
          <w:rFonts w:ascii="Calibri" w:hAnsi="Calibri" w:cs="Calibri"/>
          <w:noProof/>
          <w:sz w:val="18"/>
          <w:lang w:val="pl-PL"/>
        </w:rPr>
      </w:pPr>
      <w:r w:rsidRPr="00EA76DD">
        <w:rPr>
          <w:rFonts w:ascii="Calibri" w:hAnsi="Calibri" w:cs="Calibri"/>
          <w:noProof/>
          <w:sz w:val="18"/>
          <w:lang w:val="pl-PL"/>
        </w:rPr>
        <w:t>34</w:t>
      </w:r>
      <w:r w:rsidRPr="00EA76DD">
        <w:rPr>
          <w:rFonts w:ascii="Calibri" w:hAnsi="Calibri" w:cs="Calibri"/>
          <w:noProof/>
          <w:sz w:val="18"/>
          <w:lang w:val="pl-PL"/>
        </w:rPr>
        <w:tab/>
        <w:t xml:space="preserve">A. Brzęczek-Szafran, J. Więcławik, N. Barteczko, A. Szelwicka, E. Byrne, A. Kolanowska, M. Swadźba Kwaśny and A. Chrobok, </w:t>
      </w:r>
      <w:r w:rsidRPr="00EA76DD">
        <w:rPr>
          <w:rFonts w:ascii="Calibri" w:hAnsi="Calibri" w:cs="Calibri"/>
          <w:i/>
          <w:iCs/>
          <w:noProof/>
          <w:sz w:val="18"/>
          <w:lang w:val="pl-PL"/>
        </w:rPr>
        <w:t>Green Chem.</w:t>
      </w:r>
      <w:r w:rsidRPr="00EA76DD">
        <w:rPr>
          <w:rFonts w:ascii="Calibri" w:hAnsi="Calibri" w:cs="Calibri"/>
          <w:noProof/>
          <w:sz w:val="18"/>
          <w:lang w:val="pl-PL"/>
        </w:rPr>
        <w:t xml:space="preserve">, 2021, </w:t>
      </w:r>
      <w:r w:rsidRPr="00EA76DD">
        <w:rPr>
          <w:rFonts w:ascii="Calibri" w:hAnsi="Calibri" w:cs="Calibri"/>
          <w:b/>
          <w:bCs/>
          <w:noProof/>
          <w:sz w:val="18"/>
          <w:lang w:val="pl-PL"/>
        </w:rPr>
        <w:t>23</w:t>
      </w:r>
      <w:r w:rsidRPr="00EA76DD">
        <w:rPr>
          <w:rFonts w:ascii="Calibri" w:hAnsi="Calibri" w:cs="Calibri"/>
          <w:noProof/>
          <w:sz w:val="18"/>
          <w:lang w:val="pl-PL"/>
        </w:rPr>
        <w:t>, 4421–4429.</w:t>
      </w:r>
    </w:p>
    <w:p w14:paraId="49B2D2A5"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35</w:t>
      </w:r>
      <w:r w:rsidRPr="0026470D">
        <w:rPr>
          <w:rFonts w:ascii="Calibri" w:hAnsi="Calibri" w:cs="Calibri"/>
          <w:noProof/>
          <w:sz w:val="18"/>
        </w:rPr>
        <w:tab/>
        <w:t xml:space="preserve">L. D. Reed, A. Arteaga and E. J. Menke, </w:t>
      </w:r>
      <w:r w:rsidRPr="0026470D">
        <w:rPr>
          <w:rFonts w:ascii="Calibri" w:hAnsi="Calibri" w:cs="Calibri"/>
          <w:i/>
          <w:iCs/>
          <w:noProof/>
          <w:sz w:val="18"/>
        </w:rPr>
        <w:t>J. Phys. Chem. B</w:t>
      </w:r>
      <w:r w:rsidRPr="0026470D">
        <w:rPr>
          <w:rFonts w:ascii="Calibri" w:hAnsi="Calibri" w:cs="Calibri"/>
          <w:noProof/>
          <w:sz w:val="18"/>
        </w:rPr>
        <w:t xml:space="preserve">, 2015, </w:t>
      </w:r>
      <w:r w:rsidRPr="0026470D">
        <w:rPr>
          <w:rFonts w:ascii="Calibri" w:hAnsi="Calibri" w:cs="Calibri"/>
          <w:b/>
          <w:bCs/>
          <w:noProof/>
          <w:sz w:val="18"/>
        </w:rPr>
        <w:t>119</w:t>
      </w:r>
      <w:r w:rsidRPr="0026470D">
        <w:rPr>
          <w:rFonts w:ascii="Calibri" w:hAnsi="Calibri" w:cs="Calibri"/>
          <w:noProof/>
          <w:sz w:val="18"/>
        </w:rPr>
        <w:t>, 12677–12681.</w:t>
      </w:r>
    </w:p>
    <w:p w14:paraId="6C47CE0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36</w:t>
      </w:r>
      <w:r w:rsidRPr="0026470D">
        <w:rPr>
          <w:rFonts w:ascii="Calibri" w:hAnsi="Calibri" w:cs="Calibri"/>
          <w:noProof/>
          <w:sz w:val="18"/>
        </w:rPr>
        <w:tab/>
        <w:t xml:space="preserve">L. D. Reed, S. N. Ortiz, M. Xiong and E. J. Menke, </w:t>
      </w:r>
      <w:r w:rsidRPr="0026470D">
        <w:rPr>
          <w:rFonts w:ascii="Calibri" w:hAnsi="Calibri" w:cs="Calibri"/>
          <w:i/>
          <w:iCs/>
          <w:noProof/>
          <w:sz w:val="18"/>
        </w:rPr>
        <w:t>Chem. Commun.</w:t>
      </w:r>
      <w:r w:rsidRPr="0026470D">
        <w:rPr>
          <w:rFonts w:ascii="Calibri" w:hAnsi="Calibri" w:cs="Calibri"/>
          <w:noProof/>
          <w:sz w:val="18"/>
        </w:rPr>
        <w:t xml:space="preserve">, 2015, </w:t>
      </w:r>
      <w:r w:rsidRPr="0026470D">
        <w:rPr>
          <w:rFonts w:ascii="Calibri" w:hAnsi="Calibri" w:cs="Calibri"/>
          <w:b/>
          <w:bCs/>
          <w:noProof/>
          <w:sz w:val="18"/>
        </w:rPr>
        <w:t>51</w:t>
      </w:r>
      <w:r w:rsidRPr="0026470D">
        <w:rPr>
          <w:rFonts w:ascii="Calibri" w:hAnsi="Calibri" w:cs="Calibri"/>
          <w:noProof/>
          <w:sz w:val="18"/>
        </w:rPr>
        <w:t>, 14397–14400.</w:t>
      </w:r>
    </w:p>
    <w:p w14:paraId="19B86E7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37</w:t>
      </w:r>
      <w:r w:rsidRPr="0026470D">
        <w:rPr>
          <w:rFonts w:ascii="Calibri" w:hAnsi="Calibri" w:cs="Calibri"/>
          <w:noProof/>
          <w:sz w:val="18"/>
        </w:rPr>
        <w:tab/>
        <w:t xml:space="preserve">S. Gu, Y. Haoyi, Y. Yuan, Y. Gao, N. Zhu, F. Wu, Y. Bai and C. Wu, </w:t>
      </w:r>
      <w:r w:rsidRPr="0026470D">
        <w:rPr>
          <w:rFonts w:ascii="Calibri" w:hAnsi="Calibri" w:cs="Calibri"/>
          <w:i/>
          <w:iCs/>
          <w:noProof/>
          <w:sz w:val="18"/>
        </w:rPr>
        <w:t>Energy Mater. Adv.</w:t>
      </w:r>
      <w:r w:rsidRPr="0026470D">
        <w:rPr>
          <w:rFonts w:ascii="Calibri" w:hAnsi="Calibri" w:cs="Calibri"/>
          <w:noProof/>
          <w:sz w:val="18"/>
        </w:rPr>
        <w:t xml:space="preserve">, 2022, </w:t>
      </w:r>
      <w:r w:rsidRPr="0026470D">
        <w:rPr>
          <w:rFonts w:ascii="Calibri" w:hAnsi="Calibri" w:cs="Calibri"/>
          <w:b/>
          <w:bCs/>
          <w:noProof/>
          <w:sz w:val="18"/>
        </w:rPr>
        <w:t>1</w:t>
      </w:r>
      <w:r w:rsidRPr="0026470D">
        <w:rPr>
          <w:rFonts w:ascii="Calibri" w:hAnsi="Calibri" w:cs="Calibri"/>
          <w:noProof/>
          <w:sz w:val="18"/>
        </w:rPr>
        <w:t>, 1–10.</w:t>
      </w:r>
    </w:p>
    <w:p w14:paraId="537379D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38</w:t>
      </w:r>
      <w:r w:rsidRPr="0026470D">
        <w:rPr>
          <w:rFonts w:ascii="Calibri" w:hAnsi="Calibri" w:cs="Calibri"/>
          <w:noProof/>
          <w:sz w:val="18"/>
        </w:rPr>
        <w:tab/>
        <w:t xml:space="preserve">A. Kitada, K. Nakamura, K. Fukami and K. Murase, </w:t>
      </w:r>
      <w:r w:rsidRPr="0026470D">
        <w:rPr>
          <w:rFonts w:ascii="Calibri" w:hAnsi="Calibri" w:cs="Calibri"/>
          <w:i/>
          <w:iCs/>
          <w:noProof/>
          <w:sz w:val="18"/>
        </w:rPr>
        <w:t>Electrochemistry</w:t>
      </w:r>
      <w:r w:rsidRPr="0026470D">
        <w:rPr>
          <w:rFonts w:ascii="Calibri" w:hAnsi="Calibri" w:cs="Calibri"/>
          <w:noProof/>
          <w:sz w:val="18"/>
        </w:rPr>
        <w:t xml:space="preserve">, 2014, </w:t>
      </w:r>
      <w:r w:rsidRPr="0026470D">
        <w:rPr>
          <w:rFonts w:ascii="Calibri" w:hAnsi="Calibri" w:cs="Calibri"/>
          <w:b/>
          <w:bCs/>
          <w:noProof/>
          <w:sz w:val="18"/>
        </w:rPr>
        <w:t>82</w:t>
      </w:r>
      <w:r w:rsidRPr="0026470D">
        <w:rPr>
          <w:rFonts w:ascii="Calibri" w:hAnsi="Calibri" w:cs="Calibri"/>
          <w:noProof/>
          <w:sz w:val="18"/>
        </w:rPr>
        <w:t>, 946–948.</w:t>
      </w:r>
    </w:p>
    <w:p w14:paraId="101705EE"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39</w:t>
      </w:r>
      <w:r w:rsidRPr="0026470D">
        <w:rPr>
          <w:rFonts w:ascii="Calibri" w:hAnsi="Calibri" w:cs="Calibri"/>
          <w:noProof/>
          <w:sz w:val="18"/>
        </w:rPr>
        <w:tab/>
        <w:t xml:space="preserve">A. Kitada, K. Nakamura, K. Fukami and K. Murase, </w:t>
      </w:r>
      <w:r w:rsidRPr="0026470D">
        <w:rPr>
          <w:rFonts w:ascii="Calibri" w:hAnsi="Calibri" w:cs="Calibri"/>
          <w:i/>
          <w:iCs/>
          <w:noProof/>
          <w:sz w:val="18"/>
        </w:rPr>
        <w:t>Electrochim. Acta</w:t>
      </w:r>
      <w:r w:rsidRPr="0026470D">
        <w:rPr>
          <w:rFonts w:ascii="Calibri" w:hAnsi="Calibri" w:cs="Calibri"/>
          <w:noProof/>
          <w:sz w:val="18"/>
        </w:rPr>
        <w:t xml:space="preserve">, 2016, </w:t>
      </w:r>
      <w:r w:rsidRPr="0026470D">
        <w:rPr>
          <w:rFonts w:ascii="Calibri" w:hAnsi="Calibri" w:cs="Calibri"/>
          <w:b/>
          <w:bCs/>
          <w:noProof/>
          <w:sz w:val="18"/>
        </w:rPr>
        <w:t>211</w:t>
      </w:r>
      <w:r w:rsidRPr="0026470D">
        <w:rPr>
          <w:rFonts w:ascii="Calibri" w:hAnsi="Calibri" w:cs="Calibri"/>
          <w:noProof/>
          <w:sz w:val="18"/>
        </w:rPr>
        <w:t>, 561–567.</w:t>
      </w:r>
    </w:p>
    <w:p w14:paraId="5E4B2B7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40</w:t>
      </w:r>
      <w:r w:rsidRPr="0026470D">
        <w:rPr>
          <w:rFonts w:ascii="Calibri" w:hAnsi="Calibri" w:cs="Calibri"/>
          <w:noProof/>
          <w:sz w:val="18"/>
        </w:rPr>
        <w:tab/>
        <w:t xml:space="preserve">Z. Zhang, A. Kitada, S. Gao, K. Fukami, N. Tsuji, Z. Yao and K. Murase, </w:t>
      </w:r>
      <w:r w:rsidRPr="0026470D">
        <w:rPr>
          <w:rFonts w:ascii="Calibri" w:hAnsi="Calibri" w:cs="Calibri"/>
          <w:i/>
          <w:iCs/>
          <w:noProof/>
          <w:sz w:val="18"/>
        </w:rPr>
        <w:t>ACS Appl. Mater. Interfaces</w:t>
      </w:r>
      <w:r w:rsidRPr="0026470D">
        <w:rPr>
          <w:rFonts w:ascii="Calibri" w:hAnsi="Calibri" w:cs="Calibri"/>
          <w:noProof/>
          <w:sz w:val="18"/>
        </w:rPr>
        <w:t xml:space="preserve">, 2020, </w:t>
      </w:r>
      <w:r w:rsidRPr="0026470D">
        <w:rPr>
          <w:rFonts w:ascii="Calibri" w:hAnsi="Calibri" w:cs="Calibri"/>
          <w:b/>
          <w:bCs/>
          <w:noProof/>
          <w:sz w:val="18"/>
        </w:rPr>
        <w:t>12</w:t>
      </w:r>
      <w:r w:rsidRPr="0026470D">
        <w:rPr>
          <w:rFonts w:ascii="Calibri" w:hAnsi="Calibri" w:cs="Calibri"/>
          <w:noProof/>
          <w:sz w:val="18"/>
        </w:rPr>
        <w:t>, 43289–43298.</w:t>
      </w:r>
    </w:p>
    <w:p w14:paraId="04D044D0"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41</w:t>
      </w:r>
      <w:r w:rsidRPr="0026470D">
        <w:rPr>
          <w:rFonts w:ascii="Calibri" w:hAnsi="Calibri" w:cs="Calibri"/>
          <w:noProof/>
          <w:sz w:val="18"/>
        </w:rPr>
        <w:tab/>
        <w:t xml:space="preserve">A. R. Jupp, T. C. Johnstone and D. W. Stephan, </w:t>
      </w:r>
      <w:r w:rsidRPr="0026470D">
        <w:rPr>
          <w:rFonts w:ascii="Calibri" w:hAnsi="Calibri" w:cs="Calibri"/>
          <w:i/>
          <w:iCs/>
          <w:noProof/>
          <w:sz w:val="18"/>
        </w:rPr>
        <w:t>Dalt. Trans.</w:t>
      </w:r>
      <w:r w:rsidRPr="0026470D">
        <w:rPr>
          <w:rFonts w:ascii="Calibri" w:hAnsi="Calibri" w:cs="Calibri"/>
          <w:noProof/>
          <w:sz w:val="18"/>
        </w:rPr>
        <w:t xml:space="preserve">, 2018, </w:t>
      </w:r>
      <w:r w:rsidRPr="0026470D">
        <w:rPr>
          <w:rFonts w:ascii="Calibri" w:hAnsi="Calibri" w:cs="Calibri"/>
          <w:b/>
          <w:bCs/>
          <w:noProof/>
          <w:sz w:val="18"/>
        </w:rPr>
        <w:t>47</w:t>
      </w:r>
      <w:r w:rsidRPr="0026470D">
        <w:rPr>
          <w:rFonts w:ascii="Calibri" w:hAnsi="Calibri" w:cs="Calibri"/>
          <w:noProof/>
          <w:sz w:val="18"/>
        </w:rPr>
        <w:t>, 7029–7035.</w:t>
      </w:r>
    </w:p>
    <w:p w14:paraId="44EC9057"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42</w:t>
      </w:r>
      <w:r w:rsidRPr="0026470D">
        <w:rPr>
          <w:rFonts w:ascii="Calibri" w:hAnsi="Calibri" w:cs="Calibri"/>
          <w:noProof/>
          <w:sz w:val="18"/>
        </w:rPr>
        <w:tab/>
        <w:t xml:space="preserve">P. Erdmann, J. Leitner, J. Schwarz and L. Greb, </w:t>
      </w:r>
      <w:r w:rsidRPr="0026470D">
        <w:rPr>
          <w:rFonts w:ascii="Calibri" w:hAnsi="Calibri" w:cs="Calibri"/>
          <w:i/>
          <w:iCs/>
          <w:noProof/>
          <w:sz w:val="18"/>
        </w:rPr>
        <w:t>ChemPhysChem</w:t>
      </w:r>
      <w:r w:rsidRPr="0026470D">
        <w:rPr>
          <w:rFonts w:ascii="Calibri" w:hAnsi="Calibri" w:cs="Calibri"/>
          <w:noProof/>
          <w:sz w:val="18"/>
        </w:rPr>
        <w:t xml:space="preserve">, 2020, </w:t>
      </w:r>
      <w:r w:rsidRPr="0026470D">
        <w:rPr>
          <w:rFonts w:ascii="Calibri" w:hAnsi="Calibri" w:cs="Calibri"/>
          <w:b/>
          <w:bCs/>
          <w:noProof/>
          <w:sz w:val="18"/>
        </w:rPr>
        <w:t>21</w:t>
      </w:r>
      <w:r w:rsidRPr="0026470D">
        <w:rPr>
          <w:rFonts w:ascii="Calibri" w:hAnsi="Calibri" w:cs="Calibri"/>
          <w:noProof/>
          <w:sz w:val="18"/>
        </w:rPr>
        <w:t>, 987–994.</w:t>
      </w:r>
    </w:p>
    <w:p w14:paraId="426A3CF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43</w:t>
      </w:r>
      <w:r w:rsidRPr="0026470D">
        <w:rPr>
          <w:rFonts w:ascii="Calibri" w:hAnsi="Calibri" w:cs="Calibri"/>
          <w:noProof/>
          <w:sz w:val="18"/>
        </w:rPr>
        <w:tab/>
        <w:t xml:space="preserve">J. Estager, P. Nockemann, K. R. Seddon, M. Swadźba-Kwaśny and S. Tyrrell, </w:t>
      </w:r>
      <w:r w:rsidRPr="0026470D">
        <w:rPr>
          <w:rFonts w:ascii="Calibri" w:hAnsi="Calibri" w:cs="Calibri"/>
          <w:i/>
          <w:iCs/>
          <w:noProof/>
          <w:sz w:val="18"/>
        </w:rPr>
        <w:t>Inorg. Chem.</w:t>
      </w:r>
      <w:r w:rsidRPr="0026470D">
        <w:rPr>
          <w:rFonts w:ascii="Calibri" w:hAnsi="Calibri" w:cs="Calibri"/>
          <w:noProof/>
          <w:sz w:val="18"/>
        </w:rPr>
        <w:t xml:space="preserve">, 2011, </w:t>
      </w:r>
      <w:r w:rsidRPr="0026470D">
        <w:rPr>
          <w:rFonts w:ascii="Calibri" w:hAnsi="Calibri" w:cs="Calibri"/>
          <w:b/>
          <w:bCs/>
          <w:noProof/>
          <w:sz w:val="18"/>
        </w:rPr>
        <w:t>50</w:t>
      </w:r>
      <w:r w:rsidRPr="0026470D">
        <w:rPr>
          <w:rFonts w:ascii="Calibri" w:hAnsi="Calibri" w:cs="Calibri"/>
          <w:noProof/>
          <w:sz w:val="18"/>
        </w:rPr>
        <w:t>, 5258–5271.</w:t>
      </w:r>
    </w:p>
    <w:p w14:paraId="00B17DAA"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44</w:t>
      </w:r>
      <w:r w:rsidRPr="0026470D">
        <w:rPr>
          <w:rFonts w:ascii="Calibri" w:hAnsi="Calibri" w:cs="Calibri"/>
          <w:noProof/>
          <w:sz w:val="18"/>
        </w:rPr>
        <w:tab/>
        <w:t xml:space="preserve">M. Currie, J. Estager, P. Licence, S. Men, P. Nockemann, K. R. Seddon, M. Swadźba-Kwaśny and C. Terrade, </w:t>
      </w:r>
      <w:r w:rsidRPr="0026470D">
        <w:rPr>
          <w:rFonts w:ascii="Calibri" w:hAnsi="Calibri" w:cs="Calibri"/>
          <w:i/>
          <w:iCs/>
          <w:noProof/>
          <w:sz w:val="18"/>
        </w:rPr>
        <w:t>Inorg. Chem.</w:t>
      </w:r>
      <w:r w:rsidRPr="0026470D">
        <w:rPr>
          <w:rFonts w:ascii="Calibri" w:hAnsi="Calibri" w:cs="Calibri"/>
          <w:noProof/>
          <w:sz w:val="18"/>
        </w:rPr>
        <w:t xml:space="preserve">, 2013, </w:t>
      </w:r>
      <w:r w:rsidRPr="0026470D">
        <w:rPr>
          <w:rFonts w:ascii="Calibri" w:hAnsi="Calibri" w:cs="Calibri"/>
          <w:b/>
          <w:bCs/>
          <w:noProof/>
          <w:sz w:val="18"/>
        </w:rPr>
        <w:t>52</w:t>
      </w:r>
      <w:r w:rsidRPr="0026470D">
        <w:rPr>
          <w:rFonts w:ascii="Calibri" w:hAnsi="Calibri" w:cs="Calibri"/>
          <w:noProof/>
          <w:sz w:val="18"/>
        </w:rPr>
        <w:t>, 1710–1721.</w:t>
      </w:r>
    </w:p>
    <w:p w14:paraId="342EA37F"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45</w:t>
      </w:r>
      <w:r w:rsidRPr="0026470D">
        <w:rPr>
          <w:rFonts w:ascii="Calibri" w:hAnsi="Calibri" w:cs="Calibri"/>
          <w:noProof/>
          <w:sz w:val="18"/>
        </w:rPr>
        <w:tab/>
        <w:t xml:space="preserve">J. Estager, A. A. Oliferenko, K. R. Seddon and M. Swadźba-Kwaśny, </w:t>
      </w:r>
      <w:r w:rsidRPr="0026470D">
        <w:rPr>
          <w:rFonts w:ascii="Calibri" w:hAnsi="Calibri" w:cs="Calibri"/>
          <w:i/>
          <w:iCs/>
          <w:noProof/>
          <w:sz w:val="18"/>
        </w:rPr>
        <w:t>Dalt. Trans.</w:t>
      </w:r>
      <w:r w:rsidRPr="0026470D">
        <w:rPr>
          <w:rFonts w:ascii="Calibri" w:hAnsi="Calibri" w:cs="Calibri"/>
          <w:noProof/>
          <w:sz w:val="18"/>
        </w:rPr>
        <w:t xml:space="preserve">, 2010, </w:t>
      </w:r>
      <w:r w:rsidRPr="0026470D">
        <w:rPr>
          <w:rFonts w:ascii="Calibri" w:hAnsi="Calibri" w:cs="Calibri"/>
          <w:b/>
          <w:bCs/>
          <w:noProof/>
          <w:sz w:val="18"/>
        </w:rPr>
        <w:t>39</w:t>
      </w:r>
      <w:r w:rsidRPr="0026470D">
        <w:rPr>
          <w:rFonts w:ascii="Calibri" w:hAnsi="Calibri" w:cs="Calibri"/>
          <w:noProof/>
          <w:sz w:val="18"/>
        </w:rPr>
        <w:t>, 11375–11382.</w:t>
      </w:r>
    </w:p>
    <w:p w14:paraId="7C431693"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46</w:t>
      </w:r>
      <w:r w:rsidRPr="0026470D">
        <w:rPr>
          <w:rFonts w:ascii="Calibri" w:hAnsi="Calibri" w:cs="Calibri"/>
          <w:noProof/>
          <w:sz w:val="18"/>
        </w:rPr>
        <w:tab/>
        <w:t xml:space="preserve">K. Matuszek, S. Coffie, A. Chrobok and M. Swadźba-Kwaśny, </w:t>
      </w:r>
      <w:r w:rsidRPr="0026470D">
        <w:rPr>
          <w:rFonts w:ascii="Calibri" w:hAnsi="Calibri" w:cs="Calibri"/>
          <w:i/>
          <w:iCs/>
          <w:noProof/>
          <w:sz w:val="18"/>
        </w:rPr>
        <w:t>Catal. Sci. Technol.</w:t>
      </w:r>
      <w:r w:rsidRPr="0026470D">
        <w:rPr>
          <w:rFonts w:ascii="Calibri" w:hAnsi="Calibri" w:cs="Calibri"/>
          <w:noProof/>
          <w:sz w:val="18"/>
        </w:rPr>
        <w:t xml:space="preserve">, 2017, </w:t>
      </w:r>
      <w:r w:rsidRPr="0026470D">
        <w:rPr>
          <w:rFonts w:ascii="Calibri" w:hAnsi="Calibri" w:cs="Calibri"/>
          <w:b/>
          <w:bCs/>
          <w:noProof/>
          <w:sz w:val="18"/>
        </w:rPr>
        <w:t>7</w:t>
      </w:r>
      <w:r w:rsidRPr="0026470D">
        <w:rPr>
          <w:rFonts w:ascii="Calibri" w:hAnsi="Calibri" w:cs="Calibri"/>
          <w:noProof/>
          <w:sz w:val="18"/>
        </w:rPr>
        <w:t>, 1045–1049.</w:t>
      </w:r>
    </w:p>
    <w:p w14:paraId="34C61022"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47</w:t>
      </w:r>
      <w:r w:rsidRPr="0026470D">
        <w:rPr>
          <w:rFonts w:ascii="Calibri" w:hAnsi="Calibri" w:cs="Calibri"/>
          <w:noProof/>
          <w:sz w:val="18"/>
        </w:rPr>
        <w:tab/>
        <w:t xml:space="preserve">M. Sakhalkar, R. P. Choudhury, V. Bhakthavatsalam, S. V. Lande, J. Pradhan and S. Chandra, </w:t>
      </w:r>
      <w:r w:rsidRPr="0026470D">
        <w:rPr>
          <w:rFonts w:ascii="Calibri" w:hAnsi="Calibri" w:cs="Calibri"/>
          <w:i/>
          <w:iCs/>
          <w:noProof/>
          <w:sz w:val="18"/>
        </w:rPr>
        <w:t>J. Mol. Struct.</w:t>
      </w:r>
      <w:r w:rsidRPr="0026470D">
        <w:rPr>
          <w:rFonts w:ascii="Calibri" w:hAnsi="Calibri" w:cs="Calibri"/>
          <w:noProof/>
          <w:sz w:val="18"/>
        </w:rPr>
        <w:t xml:space="preserve">, 2020, </w:t>
      </w:r>
      <w:r w:rsidRPr="0026470D">
        <w:rPr>
          <w:rFonts w:ascii="Calibri" w:hAnsi="Calibri" w:cs="Calibri"/>
          <w:b/>
          <w:bCs/>
          <w:noProof/>
          <w:sz w:val="18"/>
        </w:rPr>
        <w:t>1222</w:t>
      </w:r>
      <w:r w:rsidRPr="0026470D">
        <w:rPr>
          <w:rFonts w:ascii="Calibri" w:hAnsi="Calibri" w:cs="Calibri"/>
          <w:noProof/>
          <w:sz w:val="18"/>
        </w:rPr>
        <w:t>, 128936.</w:t>
      </w:r>
    </w:p>
    <w:p w14:paraId="2D65BAD9"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48</w:t>
      </w:r>
      <w:r w:rsidRPr="0026470D">
        <w:rPr>
          <w:rFonts w:ascii="Calibri" w:hAnsi="Calibri" w:cs="Calibri"/>
          <w:noProof/>
          <w:sz w:val="18"/>
        </w:rPr>
        <w:tab/>
        <w:t xml:space="preserve">N. Peddagopu, P. Rossi, C. Bonaccorso, A. Bartasyte, P. Paoli and G. Malandrino, </w:t>
      </w:r>
      <w:r w:rsidRPr="0026470D">
        <w:rPr>
          <w:rFonts w:ascii="Calibri" w:hAnsi="Calibri" w:cs="Calibri"/>
          <w:i/>
          <w:iCs/>
          <w:noProof/>
          <w:sz w:val="18"/>
        </w:rPr>
        <w:t>Dalt. Trans.</w:t>
      </w:r>
      <w:r w:rsidRPr="0026470D">
        <w:rPr>
          <w:rFonts w:ascii="Calibri" w:hAnsi="Calibri" w:cs="Calibri"/>
          <w:noProof/>
          <w:sz w:val="18"/>
        </w:rPr>
        <w:t xml:space="preserve">, 2020, </w:t>
      </w:r>
      <w:r w:rsidRPr="0026470D">
        <w:rPr>
          <w:rFonts w:ascii="Calibri" w:hAnsi="Calibri" w:cs="Calibri"/>
          <w:b/>
          <w:bCs/>
          <w:noProof/>
          <w:sz w:val="18"/>
        </w:rPr>
        <w:t>49</w:t>
      </w:r>
      <w:r w:rsidRPr="0026470D">
        <w:rPr>
          <w:rFonts w:ascii="Calibri" w:hAnsi="Calibri" w:cs="Calibri"/>
          <w:noProof/>
          <w:sz w:val="18"/>
        </w:rPr>
        <w:t>, 1002–1006.</w:t>
      </w:r>
    </w:p>
    <w:p w14:paraId="32BDF02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49</w:t>
      </w:r>
      <w:r w:rsidRPr="0026470D">
        <w:rPr>
          <w:rFonts w:ascii="Calibri" w:hAnsi="Calibri" w:cs="Calibri"/>
          <w:noProof/>
          <w:sz w:val="18"/>
        </w:rPr>
        <w:tab/>
        <w:t xml:space="preserve">J. J. Black, A. Dolan, J. B. Harper and L. Aldous, </w:t>
      </w:r>
      <w:r w:rsidRPr="0026470D">
        <w:rPr>
          <w:rFonts w:ascii="Calibri" w:hAnsi="Calibri" w:cs="Calibri"/>
          <w:i/>
          <w:iCs/>
          <w:noProof/>
          <w:sz w:val="18"/>
        </w:rPr>
        <w:t>Phys. Chem. Chem. Phys.</w:t>
      </w:r>
      <w:r w:rsidRPr="0026470D">
        <w:rPr>
          <w:rFonts w:ascii="Calibri" w:hAnsi="Calibri" w:cs="Calibri"/>
          <w:noProof/>
          <w:sz w:val="18"/>
        </w:rPr>
        <w:t xml:space="preserve">, 2018, </w:t>
      </w:r>
      <w:r w:rsidRPr="0026470D">
        <w:rPr>
          <w:rFonts w:ascii="Calibri" w:hAnsi="Calibri" w:cs="Calibri"/>
          <w:b/>
          <w:bCs/>
          <w:noProof/>
          <w:sz w:val="18"/>
        </w:rPr>
        <w:t>20</w:t>
      </w:r>
      <w:r w:rsidRPr="0026470D">
        <w:rPr>
          <w:rFonts w:ascii="Calibri" w:hAnsi="Calibri" w:cs="Calibri"/>
          <w:noProof/>
          <w:sz w:val="18"/>
        </w:rPr>
        <w:t>, 16558–16567.</w:t>
      </w:r>
    </w:p>
    <w:p w14:paraId="3BB2A910"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50</w:t>
      </w:r>
      <w:r w:rsidRPr="0026470D">
        <w:rPr>
          <w:rFonts w:ascii="Calibri" w:hAnsi="Calibri" w:cs="Calibri"/>
          <w:noProof/>
          <w:sz w:val="18"/>
        </w:rPr>
        <w:tab/>
        <w:t xml:space="preserve">S. Sun, Y. Niu, Q. Xu, Z. Sun and X. Wei, </w:t>
      </w:r>
      <w:r w:rsidRPr="0026470D">
        <w:rPr>
          <w:rFonts w:ascii="Calibri" w:hAnsi="Calibri" w:cs="Calibri"/>
          <w:i/>
          <w:iCs/>
          <w:noProof/>
          <w:sz w:val="18"/>
        </w:rPr>
        <w:t>RSC Adv.</w:t>
      </w:r>
      <w:r w:rsidRPr="0026470D">
        <w:rPr>
          <w:rFonts w:ascii="Calibri" w:hAnsi="Calibri" w:cs="Calibri"/>
          <w:noProof/>
          <w:sz w:val="18"/>
        </w:rPr>
        <w:t xml:space="preserve">, 2015, </w:t>
      </w:r>
      <w:r w:rsidRPr="0026470D">
        <w:rPr>
          <w:rFonts w:ascii="Calibri" w:hAnsi="Calibri" w:cs="Calibri"/>
          <w:b/>
          <w:bCs/>
          <w:noProof/>
          <w:sz w:val="18"/>
        </w:rPr>
        <w:t>5</w:t>
      </w:r>
      <w:r w:rsidRPr="0026470D">
        <w:rPr>
          <w:rFonts w:ascii="Calibri" w:hAnsi="Calibri" w:cs="Calibri"/>
          <w:noProof/>
          <w:sz w:val="18"/>
        </w:rPr>
        <w:t>, 46564–46567.</w:t>
      </w:r>
    </w:p>
    <w:p w14:paraId="500C9AAF" w14:textId="77777777" w:rsidR="0026470D" w:rsidRPr="00EA76DD" w:rsidRDefault="0026470D" w:rsidP="0026470D">
      <w:pPr>
        <w:widowControl w:val="0"/>
        <w:autoSpaceDE w:val="0"/>
        <w:autoSpaceDN w:val="0"/>
        <w:adjustRightInd w:val="0"/>
        <w:spacing w:after="0" w:line="240" w:lineRule="exact"/>
        <w:ind w:left="640" w:hanging="640"/>
        <w:rPr>
          <w:rFonts w:ascii="Calibri" w:hAnsi="Calibri" w:cs="Calibri"/>
          <w:noProof/>
          <w:sz w:val="18"/>
          <w:lang w:val="pl-PL"/>
        </w:rPr>
      </w:pPr>
      <w:r w:rsidRPr="0026470D">
        <w:rPr>
          <w:rFonts w:ascii="Calibri" w:hAnsi="Calibri" w:cs="Calibri"/>
          <w:noProof/>
          <w:sz w:val="18"/>
        </w:rPr>
        <w:t>51</w:t>
      </w:r>
      <w:r w:rsidRPr="0026470D">
        <w:rPr>
          <w:rFonts w:ascii="Calibri" w:hAnsi="Calibri" w:cs="Calibri"/>
          <w:noProof/>
          <w:sz w:val="18"/>
        </w:rPr>
        <w:tab/>
        <w:t xml:space="preserve">L. L. Tolstikova, A. V. Bel’Skikh and B. A. Shainyan, </w:t>
      </w:r>
      <w:r w:rsidRPr="0026470D">
        <w:rPr>
          <w:rFonts w:ascii="Calibri" w:hAnsi="Calibri" w:cs="Calibri"/>
          <w:i/>
          <w:iCs/>
          <w:noProof/>
          <w:sz w:val="18"/>
        </w:rPr>
        <w:t xml:space="preserve">Russ. J. Org. </w:t>
      </w:r>
      <w:r w:rsidRPr="00EA76DD">
        <w:rPr>
          <w:rFonts w:ascii="Calibri" w:hAnsi="Calibri" w:cs="Calibri"/>
          <w:i/>
          <w:iCs/>
          <w:noProof/>
          <w:sz w:val="18"/>
          <w:lang w:val="pl-PL"/>
        </w:rPr>
        <w:t>Chem.</w:t>
      </w:r>
      <w:r w:rsidRPr="00EA76DD">
        <w:rPr>
          <w:rFonts w:ascii="Calibri" w:hAnsi="Calibri" w:cs="Calibri"/>
          <w:noProof/>
          <w:sz w:val="18"/>
          <w:lang w:val="pl-PL"/>
        </w:rPr>
        <w:t xml:space="preserve">, 2010, </w:t>
      </w:r>
      <w:r w:rsidRPr="00EA76DD">
        <w:rPr>
          <w:rFonts w:ascii="Calibri" w:hAnsi="Calibri" w:cs="Calibri"/>
          <w:b/>
          <w:bCs/>
          <w:noProof/>
          <w:sz w:val="18"/>
          <w:lang w:val="pl-PL"/>
        </w:rPr>
        <w:t>46</w:t>
      </w:r>
      <w:r w:rsidRPr="00EA76DD">
        <w:rPr>
          <w:rFonts w:ascii="Calibri" w:hAnsi="Calibri" w:cs="Calibri"/>
          <w:noProof/>
          <w:sz w:val="18"/>
          <w:lang w:val="pl-PL"/>
        </w:rPr>
        <w:t>, 383–388.</w:t>
      </w:r>
    </w:p>
    <w:p w14:paraId="0E971D8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EA76DD">
        <w:rPr>
          <w:rFonts w:ascii="Calibri" w:hAnsi="Calibri" w:cs="Calibri"/>
          <w:noProof/>
          <w:sz w:val="18"/>
          <w:lang w:val="pl-PL"/>
        </w:rPr>
        <w:t>52</w:t>
      </w:r>
      <w:r w:rsidRPr="00EA76DD">
        <w:rPr>
          <w:rFonts w:ascii="Calibri" w:hAnsi="Calibri" w:cs="Calibri"/>
          <w:noProof/>
          <w:sz w:val="18"/>
          <w:lang w:val="pl-PL"/>
        </w:rPr>
        <w:tab/>
        <w:t xml:space="preserve">P. Latos, A. Wolny, J. Zdarta, F. Ciesielczyk, S. Jurczyk, T. Jesionowski and A. Chrobok, </w:t>
      </w:r>
      <w:r w:rsidRPr="00EA76DD">
        <w:rPr>
          <w:rFonts w:ascii="Calibri" w:hAnsi="Calibri" w:cs="Calibri"/>
          <w:i/>
          <w:iCs/>
          <w:noProof/>
          <w:sz w:val="18"/>
          <w:lang w:val="pl-PL"/>
        </w:rPr>
        <w:t xml:space="preserve">Environ. </w:t>
      </w:r>
      <w:r w:rsidRPr="0026470D">
        <w:rPr>
          <w:rFonts w:ascii="Calibri" w:hAnsi="Calibri" w:cs="Calibri"/>
          <w:i/>
          <w:iCs/>
          <w:noProof/>
          <w:sz w:val="18"/>
        </w:rPr>
        <w:t>Technol. Innov.</w:t>
      </w:r>
      <w:r w:rsidRPr="0026470D">
        <w:rPr>
          <w:rFonts w:ascii="Calibri" w:hAnsi="Calibri" w:cs="Calibri"/>
          <w:noProof/>
          <w:sz w:val="18"/>
        </w:rPr>
        <w:t xml:space="preserve">, 2023, </w:t>
      </w:r>
      <w:r w:rsidRPr="0026470D">
        <w:rPr>
          <w:rFonts w:ascii="Calibri" w:hAnsi="Calibri" w:cs="Calibri"/>
          <w:b/>
          <w:bCs/>
          <w:noProof/>
          <w:sz w:val="18"/>
        </w:rPr>
        <w:t>31</w:t>
      </w:r>
      <w:r w:rsidRPr="0026470D">
        <w:rPr>
          <w:rFonts w:ascii="Calibri" w:hAnsi="Calibri" w:cs="Calibri"/>
          <w:noProof/>
          <w:sz w:val="18"/>
        </w:rPr>
        <w:t>, 103164.</w:t>
      </w:r>
    </w:p>
    <w:p w14:paraId="56551B89"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53</w:t>
      </w:r>
      <w:r w:rsidRPr="0026470D">
        <w:rPr>
          <w:rFonts w:ascii="Calibri" w:hAnsi="Calibri" w:cs="Calibri"/>
          <w:noProof/>
          <w:sz w:val="18"/>
        </w:rPr>
        <w:tab/>
        <w:t xml:space="preserve">M. M. Finnegan, S. J. Rettig and C. Orvig, </w:t>
      </w:r>
      <w:r w:rsidRPr="0026470D">
        <w:rPr>
          <w:rFonts w:ascii="Calibri" w:hAnsi="Calibri" w:cs="Calibri"/>
          <w:i/>
          <w:iCs/>
          <w:noProof/>
          <w:sz w:val="18"/>
        </w:rPr>
        <w:t>J. Am. Chem. Soc.</w:t>
      </w:r>
      <w:r w:rsidRPr="0026470D">
        <w:rPr>
          <w:rFonts w:ascii="Calibri" w:hAnsi="Calibri" w:cs="Calibri"/>
          <w:noProof/>
          <w:sz w:val="18"/>
        </w:rPr>
        <w:t xml:space="preserve">, 1986, </w:t>
      </w:r>
      <w:r w:rsidRPr="0026470D">
        <w:rPr>
          <w:rFonts w:ascii="Calibri" w:hAnsi="Calibri" w:cs="Calibri"/>
          <w:b/>
          <w:bCs/>
          <w:noProof/>
          <w:sz w:val="18"/>
        </w:rPr>
        <w:t>108</w:t>
      </w:r>
      <w:r w:rsidRPr="0026470D">
        <w:rPr>
          <w:rFonts w:ascii="Calibri" w:hAnsi="Calibri" w:cs="Calibri"/>
          <w:noProof/>
          <w:sz w:val="18"/>
        </w:rPr>
        <w:t>, 5033–5035.</w:t>
      </w:r>
    </w:p>
    <w:p w14:paraId="1A0E3FE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lastRenderedPageBreak/>
        <w:t>54</w:t>
      </w:r>
      <w:r w:rsidRPr="0026470D">
        <w:rPr>
          <w:rFonts w:ascii="Calibri" w:hAnsi="Calibri" w:cs="Calibri"/>
          <w:noProof/>
          <w:sz w:val="18"/>
        </w:rPr>
        <w:tab/>
        <w:t xml:space="preserve">G. A. Olah, O. Farooq, S. M. F. Farnia, M. R. Bruce, F. L. Clouet, P. R. Morton, G. K. Surya Prakash, R. C. Stevens, R. Bau, K. Lammertsma, S. Suzer and L. Andrews, </w:t>
      </w:r>
      <w:r w:rsidRPr="0026470D">
        <w:rPr>
          <w:rFonts w:ascii="Calibri" w:hAnsi="Calibri" w:cs="Calibri"/>
          <w:i/>
          <w:iCs/>
          <w:noProof/>
          <w:sz w:val="18"/>
        </w:rPr>
        <w:t>J. Am. Chem. Soc.</w:t>
      </w:r>
      <w:r w:rsidRPr="0026470D">
        <w:rPr>
          <w:rFonts w:ascii="Calibri" w:hAnsi="Calibri" w:cs="Calibri"/>
          <w:noProof/>
          <w:sz w:val="18"/>
        </w:rPr>
        <w:t xml:space="preserve">, 1988, </w:t>
      </w:r>
      <w:r w:rsidRPr="0026470D">
        <w:rPr>
          <w:rFonts w:ascii="Calibri" w:hAnsi="Calibri" w:cs="Calibri"/>
          <w:b/>
          <w:bCs/>
          <w:noProof/>
          <w:sz w:val="18"/>
        </w:rPr>
        <w:t>110</w:t>
      </w:r>
      <w:r w:rsidRPr="0026470D">
        <w:rPr>
          <w:rFonts w:ascii="Calibri" w:hAnsi="Calibri" w:cs="Calibri"/>
          <w:noProof/>
          <w:sz w:val="18"/>
        </w:rPr>
        <w:t>, 3231–3238.</w:t>
      </w:r>
    </w:p>
    <w:p w14:paraId="2FB607F6"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55</w:t>
      </w:r>
      <w:r w:rsidRPr="0026470D">
        <w:rPr>
          <w:rFonts w:ascii="Calibri" w:hAnsi="Calibri" w:cs="Calibri"/>
          <w:noProof/>
          <w:sz w:val="18"/>
        </w:rPr>
        <w:tab/>
        <w:t xml:space="preserve">D. A. Atwood, </w:t>
      </w:r>
      <w:r w:rsidRPr="0026470D">
        <w:rPr>
          <w:rFonts w:ascii="Calibri" w:hAnsi="Calibri" w:cs="Calibri"/>
          <w:i/>
          <w:iCs/>
          <w:noProof/>
          <w:sz w:val="18"/>
        </w:rPr>
        <w:t>Coord. Chem. Rev.</w:t>
      </w:r>
      <w:r w:rsidRPr="0026470D">
        <w:rPr>
          <w:rFonts w:ascii="Calibri" w:hAnsi="Calibri" w:cs="Calibri"/>
          <w:noProof/>
          <w:sz w:val="18"/>
        </w:rPr>
        <w:t xml:space="preserve">, 1998, </w:t>
      </w:r>
      <w:r w:rsidRPr="0026470D">
        <w:rPr>
          <w:rFonts w:ascii="Calibri" w:hAnsi="Calibri" w:cs="Calibri"/>
          <w:b/>
          <w:bCs/>
          <w:noProof/>
          <w:sz w:val="18"/>
        </w:rPr>
        <w:t>176</w:t>
      </w:r>
      <w:r w:rsidRPr="0026470D">
        <w:rPr>
          <w:rFonts w:ascii="Calibri" w:hAnsi="Calibri" w:cs="Calibri"/>
          <w:noProof/>
          <w:sz w:val="18"/>
        </w:rPr>
        <w:t>, 407–430.</w:t>
      </w:r>
    </w:p>
    <w:p w14:paraId="755C450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56</w:t>
      </w:r>
      <w:r w:rsidRPr="0026470D">
        <w:rPr>
          <w:rFonts w:ascii="Calibri" w:hAnsi="Calibri" w:cs="Calibri"/>
          <w:noProof/>
          <w:sz w:val="18"/>
        </w:rPr>
        <w:tab/>
        <w:t xml:space="preserve">M. Choi, K. Matsunaga, F. Oba and I. Tanaka, </w:t>
      </w:r>
      <w:r w:rsidRPr="0026470D">
        <w:rPr>
          <w:rFonts w:ascii="Calibri" w:hAnsi="Calibri" w:cs="Calibri"/>
          <w:i/>
          <w:iCs/>
          <w:noProof/>
          <w:sz w:val="18"/>
        </w:rPr>
        <w:t>J. Phys. Chem. C</w:t>
      </w:r>
      <w:r w:rsidRPr="0026470D">
        <w:rPr>
          <w:rFonts w:ascii="Calibri" w:hAnsi="Calibri" w:cs="Calibri"/>
          <w:noProof/>
          <w:sz w:val="18"/>
        </w:rPr>
        <w:t xml:space="preserve">, 2009, </w:t>
      </w:r>
      <w:r w:rsidRPr="0026470D">
        <w:rPr>
          <w:rFonts w:ascii="Calibri" w:hAnsi="Calibri" w:cs="Calibri"/>
          <w:b/>
          <w:bCs/>
          <w:noProof/>
          <w:sz w:val="18"/>
        </w:rPr>
        <w:t>113</w:t>
      </w:r>
      <w:r w:rsidRPr="0026470D">
        <w:rPr>
          <w:rFonts w:ascii="Calibri" w:hAnsi="Calibri" w:cs="Calibri"/>
          <w:noProof/>
          <w:sz w:val="18"/>
        </w:rPr>
        <w:t>, 3869–3873.</w:t>
      </w:r>
    </w:p>
    <w:p w14:paraId="6FD1F802"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57</w:t>
      </w:r>
      <w:r w:rsidRPr="0026470D">
        <w:rPr>
          <w:rFonts w:ascii="Calibri" w:hAnsi="Calibri" w:cs="Calibri"/>
          <w:noProof/>
          <w:sz w:val="18"/>
        </w:rPr>
        <w:tab/>
        <w:t xml:space="preserve">A. W. Apblett, in </w:t>
      </w:r>
      <w:r w:rsidRPr="0026470D">
        <w:rPr>
          <w:rFonts w:ascii="Calibri" w:hAnsi="Calibri" w:cs="Calibri"/>
          <w:i/>
          <w:iCs/>
          <w:noProof/>
          <w:sz w:val="18"/>
        </w:rPr>
        <w:t>Encyclopedia of Inorganic and Bioinorganic Chemistry</w:t>
      </w:r>
      <w:r w:rsidRPr="0026470D">
        <w:rPr>
          <w:rFonts w:ascii="Calibri" w:hAnsi="Calibri" w:cs="Calibri"/>
          <w:noProof/>
          <w:sz w:val="18"/>
        </w:rPr>
        <w:t>, John Wiley &amp; Sons, Ltd, 2012.</w:t>
      </w:r>
    </w:p>
    <w:p w14:paraId="65246155"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58</w:t>
      </w:r>
      <w:r w:rsidRPr="0026470D">
        <w:rPr>
          <w:rFonts w:ascii="Calibri" w:hAnsi="Calibri" w:cs="Calibri"/>
          <w:noProof/>
          <w:sz w:val="18"/>
        </w:rPr>
        <w:tab/>
        <w:t xml:space="preserve">K. N. Tayade, M. Mishra, K. Munusamy and R. S. Somani, </w:t>
      </w:r>
      <w:r w:rsidRPr="0026470D">
        <w:rPr>
          <w:rFonts w:ascii="Calibri" w:hAnsi="Calibri" w:cs="Calibri"/>
          <w:i/>
          <w:iCs/>
          <w:noProof/>
          <w:sz w:val="18"/>
        </w:rPr>
        <w:t>Catal. Sci. Technol.</w:t>
      </w:r>
      <w:r w:rsidRPr="0026470D">
        <w:rPr>
          <w:rFonts w:ascii="Calibri" w:hAnsi="Calibri" w:cs="Calibri"/>
          <w:noProof/>
          <w:sz w:val="18"/>
        </w:rPr>
        <w:t xml:space="preserve">, 2015, </w:t>
      </w:r>
      <w:r w:rsidRPr="0026470D">
        <w:rPr>
          <w:rFonts w:ascii="Calibri" w:hAnsi="Calibri" w:cs="Calibri"/>
          <w:b/>
          <w:bCs/>
          <w:noProof/>
          <w:sz w:val="18"/>
        </w:rPr>
        <w:t>5</w:t>
      </w:r>
      <w:r w:rsidRPr="0026470D">
        <w:rPr>
          <w:rFonts w:ascii="Calibri" w:hAnsi="Calibri" w:cs="Calibri"/>
          <w:noProof/>
          <w:sz w:val="18"/>
        </w:rPr>
        <w:t>, 2427–2440.</w:t>
      </w:r>
    </w:p>
    <w:p w14:paraId="3FB6D66A"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59</w:t>
      </w:r>
      <w:r w:rsidRPr="0026470D">
        <w:rPr>
          <w:rFonts w:ascii="Calibri" w:hAnsi="Calibri" w:cs="Calibri"/>
          <w:noProof/>
          <w:sz w:val="18"/>
        </w:rPr>
        <w:tab/>
        <w:t xml:space="preserve">K. R. Seddon, G. Srinivasan, M. Swadźba-Kwaśny and A. R. Wilson, </w:t>
      </w:r>
      <w:r w:rsidRPr="0026470D">
        <w:rPr>
          <w:rFonts w:ascii="Calibri" w:hAnsi="Calibri" w:cs="Calibri"/>
          <w:i/>
          <w:iCs/>
          <w:noProof/>
          <w:sz w:val="18"/>
        </w:rPr>
        <w:t>Phys. Chem. Chem. Phys.</w:t>
      </w:r>
      <w:r w:rsidRPr="0026470D">
        <w:rPr>
          <w:rFonts w:ascii="Calibri" w:hAnsi="Calibri" w:cs="Calibri"/>
          <w:noProof/>
          <w:sz w:val="18"/>
        </w:rPr>
        <w:t xml:space="preserve">, 2013, </w:t>
      </w:r>
      <w:r w:rsidRPr="0026470D">
        <w:rPr>
          <w:rFonts w:ascii="Calibri" w:hAnsi="Calibri" w:cs="Calibri"/>
          <w:b/>
          <w:bCs/>
          <w:noProof/>
          <w:sz w:val="18"/>
        </w:rPr>
        <w:t>15</w:t>
      </w:r>
      <w:r w:rsidRPr="0026470D">
        <w:rPr>
          <w:rFonts w:ascii="Calibri" w:hAnsi="Calibri" w:cs="Calibri"/>
          <w:noProof/>
          <w:sz w:val="18"/>
        </w:rPr>
        <w:t>, 4518–4526.</w:t>
      </w:r>
    </w:p>
    <w:p w14:paraId="644C86DC"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60</w:t>
      </w:r>
      <w:r w:rsidRPr="0026470D">
        <w:rPr>
          <w:rFonts w:ascii="Calibri" w:hAnsi="Calibri" w:cs="Calibri"/>
          <w:noProof/>
          <w:sz w:val="18"/>
        </w:rPr>
        <w:tab/>
        <w:t xml:space="preserve">Z. L. Ma, K. M. Wentz, B. A. Hammann, I. Y. Chang, M. K. Kamunde-Devonish, P. H. Y. Cheong, D. W. Johnson, V. V. Terskikh and S. E. Hayes, </w:t>
      </w:r>
      <w:r w:rsidRPr="0026470D">
        <w:rPr>
          <w:rFonts w:ascii="Calibri" w:hAnsi="Calibri" w:cs="Calibri"/>
          <w:i/>
          <w:iCs/>
          <w:noProof/>
          <w:sz w:val="18"/>
        </w:rPr>
        <w:t>Chem. Mater.</w:t>
      </w:r>
      <w:r w:rsidRPr="0026470D">
        <w:rPr>
          <w:rFonts w:ascii="Calibri" w:hAnsi="Calibri" w:cs="Calibri"/>
          <w:noProof/>
          <w:sz w:val="18"/>
        </w:rPr>
        <w:t xml:space="preserve">, 2014, </w:t>
      </w:r>
      <w:r w:rsidRPr="0026470D">
        <w:rPr>
          <w:rFonts w:ascii="Calibri" w:hAnsi="Calibri" w:cs="Calibri"/>
          <w:b/>
          <w:bCs/>
          <w:noProof/>
          <w:sz w:val="18"/>
        </w:rPr>
        <w:t>26</w:t>
      </w:r>
      <w:r w:rsidRPr="0026470D">
        <w:rPr>
          <w:rFonts w:ascii="Calibri" w:hAnsi="Calibri" w:cs="Calibri"/>
          <w:noProof/>
          <w:sz w:val="18"/>
        </w:rPr>
        <w:t>, 4978–4983.</w:t>
      </w:r>
    </w:p>
    <w:p w14:paraId="66DE8468"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61</w:t>
      </w:r>
      <w:r w:rsidRPr="0026470D">
        <w:rPr>
          <w:rFonts w:ascii="Calibri" w:hAnsi="Calibri" w:cs="Calibri"/>
          <w:noProof/>
          <w:sz w:val="18"/>
        </w:rPr>
        <w:tab/>
        <w:t xml:space="preserve">N. V. Ignat’ev, P. Barthen, A. Kucheryna, H. Willner and P. Sartori, </w:t>
      </w:r>
      <w:r w:rsidRPr="0026470D">
        <w:rPr>
          <w:rFonts w:ascii="Calibri" w:hAnsi="Calibri" w:cs="Calibri"/>
          <w:i/>
          <w:iCs/>
          <w:noProof/>
          <w:sz w:val="18"/>
        </w:rPr>
        <w:t>Molecules</w:t>
      </w:r>
      <w:r w:rsidRPr="0026470D">
        <w:rPr>
          <w:rFonts w:ascii="Calibri" w:hAnsi="Calibri" w:cs="Calibri"/>
          <w:noProof/>
          <w:sz w:val="18"/>
        </w:rPr>
        <w:t xml:space="preserve">, 2012, </w:t>
      </w:r>
      <w:r w:rsidRPr="0026470D">
        <w:rPr>
          <w:rFonts w:ascii="Calibri" w:hAnsi="Calibri" w:cs="Calibri"/>
          <w:b/>
          <w:bCs/>
          <w:noProof/>
          <w:sz w:val="18"/>
        </w:rPr>
        <w:t>17</w:t>
      </w:r>
      <w:r w:rsidRPr="0026470D">
        <w:rPr>
          <w:rFonts w:ascii="Calibri" w:hAnsi="Calibri" w:cs="Calibri"/>
          <w:noProof/>
          <w:sz w:val="18"/>
        </w:rPr>
        <w:t>, 5319–5338.</w:t>
      </w:r>
    </w:p>
    <w:p w14:paraId="018A657F"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62</w:t>
      </w:r>
      <w:r w:rsidRPr="0026470D">
        <w:rPr>
          <w:rFonts w:ascii="Calibri" w:hAnsi="Calibri" w:cs="Calibri"/>
          <w:noProof/>
          <w:sz w:val="18"/>
        </w:rPr>
        <w:tab/>
        <w:t xml:space="preserve">P. Quadrelli, </w:t>
      </w:r>
      <w:r w:rsidRPr="0026470D">
        <w:rPr>
          <w:rFonts w:ascii="Calibri" w:hAnsi="Calibri" w:cs="Calibri"/>
          <w:i/>
          <w:iCs/>
          <w:noProof/>
          <w:sz w:val="18"/>
        </w:rPr>
        <w:t>Modern applications of cycloaddition chemistry</w:t>
      </w:r>
      <w:r w:rsidRPr="0026470D">
        <w:rPr>
          <w:rFonts w:ascii="Calibri" w:hAnsi="Calibri" w:cs="Calibri"/>
          <w:noProof/>
          <w:sz w:val="18"/>
        </w:rPr>
        <w:t>, Elsevier, 2019.</w:t>
      </w:r>
    </w:p>
    <w:p w14:paraId="35647934"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63</w:t>
      </w:r>
      <w:r w:rsidRPr="0026470D">
        <w:rPr>
          <w:rFonts w:ascii="Calibri" w:hAnsi="Calibri" w:cs="Calibri"/>
          <w:noProof/>
          <w:sz w:val="18"/>
        </w:rPr>
        <w:tab/>
        <w:t xml:space="preserve">J. Deng, X. N. Wang and R. P. Hsung, in </w:t>
      </w:r>
      <w:r w:rsidRPr="0026470D">
        <w:rPr>
          <w:rFonts w:ascii="Calibri" w:hAnsi="Calibri" w:cs="Calibri"/>
          <w:i/>
          <w:iCs/>
          <w:noProof/>
          <w:sz w:val="18"/>
        </w:rPr>
        <w:t>Wiley Blackwell 6</w:t>
      </w:r>
      <w:r w:rsidRPr="0026470D">
        <w:rPr>
          <w:rFonts w:ascii="Calibri" w:hAnsi="Calibri" w:cs="Calibri"/>
          <w:noProof/>
          <w:sz w:val="18"/>
        </w:rPr>
        <w:t>, Wiley Blackwell, 2014, vol. 9781118299, pp. 283–354.</w:t>
      </w:r>
    </w:p>
    <w:p w14:paraId="6A8A7EFB"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64</w:t>
      </w:r>
      <w:r w:rsidRPr="0026470D">
        <w:rPr>
          <w:rFonts w:ascii="Calibri" w:hAnsi="Calibri" w:cs="Calibri"/>
          <w:noProof/>
          <w:sz w:val="18"/>
        </w:rPr>
        <w:tab/>
        <w:t xml:space="preserve">C. Schneider, </w:t>
      </w:r>
      <w:r w:rsidRPr="0026470D">
        <w:rPr>
          <w:rFonts w:ascii="Calibri" w:hAnsi="Calibri" w:cs="Calibri"/>
          <w:i/>
          <w:iCs/>
          <w:noProof/>
          <w:sz w:val="18"/>
        </w:rPr>
        <w:t>Mol. Nutr. Food Res.</w:t>
      </w:r>
      <w:r w:rsidRPr="0026470D">
        <w:rPr>
          <w:rFonts w:ascii="Calibri" w:hAnsi="Calibri" w:cs="Calibri"/>
          <w:noProof/>
          <w:sz w:val="18"/>
        </w:rPr>
        <w:t xml:space="preserve">, 2005, </w:t>
      </w:r>
      <w:r w:rsidRPr="0026470D">
        <w:rPr>
          <w:rFonts w:ascii="Calibri" w:hAnsi="Calibri" w:cs="Calibri"/>
          <w:b/>
          <w:bCs/>
          <w:noProof/>
          <w:sz w:val="18"/>
        </w:rPr>
        <w:t>49</w:t>
      </w:r>
      <w:r w:rsidRPr="0026470D">
        <w:rPr>
          <w:rFonts w:ascii="Calibri" w:hAnsi="Calibri" w:cs="Calibri"/>
          <w:noProof/>
          <w:sz w:val="18"/>
        </w:rPr>
        <w:t>, 7–30.</w:t>
      </w:r>
    </w:p>
    <w:p w14:paraId="5E36463D"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65</w:t>
      </w:r>
      <w:r w:rsidRPr="0026470D">
        <w:rPr>
          <w:rFonts w:ascii="Calibri" w:hAnsi="Calibri" w:cs="Calibri"/>
          <w:noProof/>
          <w:sz w:val="18"/>
        </w:rPr>
        <w:tab/>
        <w:t xml:space="preserve">S. W. Youn and J. I. Eom, </w:t>
      </w:r>
      <w:r w:rsidRPr="0026470D">
        <w:rPr>
          <w:rFonts w:ascii="Calibri" w:hAnsi="Calibri" w:cs="Calibri"/>
          <w:i/>
          <w:iCs/>
          <w:noProof/>
          <w:sz w:val="18"/>
        </w:rPr>
        <w:t>J. Org. Chem.</w:t>
      </w:r>
      <w:r w:rsidRPr="0026470D">
        <w:rPr>
          <w:rFonts w:ascii="Calibri" w:hAnsi="Calibri" w:cs="Calibri"/>
          <w:noProof/>
          <w:sz w:val="18"/>
        </w:rPr>
        <w:t xml:space="preserve">, 2006, </w:t>
      </w:r>
      <w:r w:rsidRPr="0026470D">
        <w:rPr>
          <w:rFonts w:ascii="Calibri" w:hAnsi="Calibri" w:cs="Calibri"/>
          <w:b/>
          <w:bCs/>
          <w:noProof/>
          <w:sz w:val="18"/>
        </w:rPr>
        <w:t>71</w:t>
      </w:r>
      <w:r w:rsidRPr="0026470D">
        <w:rPr>
          <w:rFonts w:ascii="Calibri" w:hAnsi="Calibri" w:cs="Calibri"/>
          <w:noProof/>
          <w:sz w:val="18"/>
        </w:rPr>
        <w:t>, 6705–6707.</w:t>
      </w:r>
    </w:p>
    <w:p w14:paraId="633170F1"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66</w:t>
      </w:r>
      <w:r w:rsidRPr="0026470D">
        <w:rPr>
          <w:rFonts w:ascii="Calibri" w:hAnsi="Calibri" w:cs="Calibri"/>
          <w:noProof/>
          <w:sz w:val="18"/>
        </w:rPr>
        <w:tab/>
        <w:t xml:space="preserve">Y. Yamamoto and K. Itonaga, </w:t>
      </w:r>
      <w:r w:rsidRPr="0026470D">
        <w:rPr>
          <w:rFonts w:ascii="Calibri" w:hAnsi="Calibri" w:cs="Calibri"/>
          <w:i/>
          <w:iCs/>
          <w:noProof/>
          <w:sz w:val="18"/>
        </w:rPr>
        <w:t>Org. Lett.</w:t>
      </w:r>
      <w:r w:rsidRPr="0026470D">
        <w:rPr>
          <w:rFonts w:ascii="Calibri" w:hAnsi="Calibri" w:cs="Calibri"/>
          <w:noProof/>
          <w:sz w:val="18"/>
        </w:rPr>
        <w:t xml:space="preserve">, 2009, </w:t>
      </w:r>
      <w:r w:rsidRPr="0026470D">
        <w:rPr>
          <w:rFonts w:ascii="Calibri" w:hAnsi="Calibri" w:cs="Calibri"/>
          <w:b/>
          <w:bCs/>
          <w:noProof/>
          <w:sz w:val="18"/>
        </w:rPr>
        <w:t>11</w:t>
      </w:r>
      <w:r w:rsidRPr="0026470D">
        <w:rPr>
          <w:rFonts w:ascii="Calibri" w:hAnsi="Calibri" w:cs="Calibri"/>
          <w:noProof/>
          <w:sz w:val="18"/>
        </w:rPr>
        <w:t>, 717–720.</w:t>
      </w:r>
    </w:p>
    <w:p w14:paraId="7AC6C522" w14:textId="77777777" w:rsidR="0026470D" w:rsidRPr="0026470D" w:rsidRDefault="0026470D" w:rsidP="0026470D">
      <w:pPr>
        <w:widowControl w:val="0"/>
        <w:autoSpaceDE w:val="0"/>
        <w:autoSpaceDN w:val="0"/>
        <w:adjustRightInd w:val="0"/>
        <w:spacing w:after="0" w:line="240" w:lineRule="exact"/>
        <w:ind w:left="640" w:hanging="640"/>
        <w:rPr>
          <w:rFonts w:ascii="Calibri" w:hAnsi="Calibri" w:cs="Calibri"/>
          <w:noProof/>
          <w:sz w:val="18"/>
        </w:rPr>
      </w:pPr>
      <w:r w:rsidRPr="0026470D">
        <w:rPr>
          <w:rFonts w:ascii="Calibri" w:hAnsi="Calibri" w:cs="Calibri"/>
          <w:noProof/>
          <w:sz w:val="18"/>
        </w:rPr>
        <w:t>67</w:t>
      </w:r>
      <w:r w:rsidRPr="0026470D">
        <w:rPr>
          <w:rFonts w:ascii="Calibri" w:hAnsi="Calibri" w:cs="Calibri"/>
          <w:noProof/>
          <w:sz w:val="18"/>
        </w:rPr>
        <w:tab/>
        <w:t xml:space="preserve">T. T. Dang, F. Boeck and L. Hintermann, </w:t>
      </w:r>
      <w:r w:rsidRPr="0026470D">
        <w:rPr>
          <w:rFonts w:ascii="Calibri" w:hAnsi="Calibri" w:cs="Calibri"/>
          <w:i/>
          <w:iCs/>
          <w:noProof/>
          <w:sz w:val="18"/>
        </w:rPr>
        <w:t>J. Org. Chem.</w:t>
      </w:r>
      <w:r w:rsidRPr="0026470D">
        <w:rPr>
          <w:rFonts w:ascii="Calibri" w:hAnsi="Calibri" w:cs="Calibri"/>
          <w:noProof/>
          <w:sz w:val="18"/>
        </w:rPr>
        <w:t xml:space="preserve">, 2011, </w:t>
      </w:r>
      <w:r w:rsidRPr="0026470D">
        <w:rPr>
          <w:rFonts w:ascii="Calibri" w:hAnsi="Calibri" w:cs="Calibri"/>
          <w:b/>
          <w:bCs/>
          <w:noProof/>
          <w:sz w:val="18"/>
        </w:rPr>
        <w:t>76</w:t>
      </w:r>
      <w:r w:rsidRPr="0026470D">
        <w:rPr>
          <w:rFonts w:ascii="Calibri" w:hAnsi="Calibri" w:cs="Calibri"/>
          <w:noProof/>
          <w:sz w:val="18"/>
        </w:rPr>
        <w:t>, 9353–9361.</w:t>
      </w:r>
    </w:p>
    <w:p w14:paraId="339E4F4B" w14:textId="1BA02D85" w:rsidR="00F157DD" w:rsidRPr="00905DD7" w:rsidRDefault="000A265C" w:rsidP="00B720A8">
      <w:pPr>
        <w:pStyle w:val="RSCB02ArticleText"/>
        <w:rPr>
          <w:lang w:val="en-GB"/>
        </w:rPr>
      </w:pPr>
      <w:r w:rsidRPr="00905DD7">
        <w:rPr>
          <w:lang w:val="en-GB"/>
        </w:rPr>
        <w:fldChar w:fldCharType="end"/>
      </w:r>
    </w:p>
    <w:p w14:paraId="53FF0B6E" w14:textId="77777777" w:rsidR="00B720A8" w:rsidRPr="00905DD7" w:rsidRDefault="00B720A8" w:rsidP="00B720A8">
      <w:pPr>
        <w:pStyle w:val="RSCR02References"/>
        <w:rPr>
          <w:lang w:val="en-GB"/>
        </w:rPr>
      </w:pPr>
    </w:p>
    <w:p w14:paraId="70C54C85" w14:textId="04AE8919" w:rsidR="00B720A8" w:rsidRPr="00905DD7" w:rsidRDefault="00B720A8" w:rsidP="008B4EF3">
      <w:pPr>
        <w:pStyle w:val="RSCB04AHeadingSection"/>
      </w:pPr>
      <w:r w:rsidRPr="00905DD7">
        <w:t>Table of Contents</w:t>
      </w:r>
    </w:p>
    <w:p w14:paraId="45B5ACC7" w14:textId="77777777" w:rsidR="00B720A8" w:rsidRPr="00905DD7" w:rsidRDefault="00B720A8" w:rsidP="00B720A8">
      <w:pPr>
        <w:pStyle w:val="RSCB02ArticleText"/>
        <w:rPr>
          <w:lang w:val="en-GB"/>
        </w:rPr>
      </w:pPr>
    </w:p>
    <w:p w14:paraId="5C1585DF" w14:textId="77777777" w:rsidR="00B720A8" w:rsidRPr="00905DD7" w:rsidRDefault="00B720A8" w:rsidP="00B720A8">
      <w:pPr>
        <w:pStyle w:val="TAMainText"/>
        <w:rPr>
          <w:lang w:val="en-GB"/>
        </w:rPr>
      </w:pPr>
      <w:r w:rsidRPr="00905DD7">
        <w:rPr>
          <w:b/>
          <w:bCs/>
          <w:noProof/>
          <w:lang w:val="en-GB"/>
        </w:rPr>
        <w:drawing>
          <wp:inline distT="0" distB="0" distL="0" distR="0" wp14:anchorId="003AD585" wp14:editId="55BA061A">
            <wp:extent cx="2879998" cy="1439999"/>
            <wp:effectExtent l="0" t="0" r="0" b="8255"/>
            <wp:docPr id="5175578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57890" name="Obraz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879998" cy="1439999"/>
                    </a:xfrm>
                    <a:prstGeom prst="rect">
                      <a:avLst/>
                    </a:prstGeom>
                    <a:noFill/>
                    <a:ln>
                      <a:noFill/>
                    </a:ln>
                  </pic:spPr>
                </pic:pic>
              </a:graphicData>
            </a:graphic>
          </wp:inline>
        </w:drawing>
      </w:r>
    </w:p>
    <w:p w14:paraId="4732BAF3" w14:textId="2EE5F151" w:rsidR="00B720A8" w:rsidRPr="00905DD7" w:rsidRDefault="004A7009" w:rsidP="00B720A8">
      <w:pPr>
        <w:pStyle w:val="RSCB02ArticleText"/>
        <w:rPr>
          <w:lang w:val="en-GB"/>
        </w:rPr>
      </w:pPr>
      <w:r>
        <w:rPr>
          <w:lang w:val="en-GB"/>
        </w:rPr>
        <w:t>This</w:t>
      </w:r>
      <w:r w:rsidRPr="00905DD7">
        <w:rPr>
          <w:lang w:val="en-GB"/>
        </w:rPr>
        <w:t xml:space="preserve"> </w:t>
      </w:r>
      <w:r w:rsidR="00B720A8" w:rsidRPr="00905DD7">
        <w:rPr>
          <w:lang w:val="en-GB"/>
        </w:rPr>
        <w:t xml:space="preserve">first </w:t>
      </w:r>
      <w:r>
        <w:rPr>
          <w:lang w:val="en-GB"/>
        </w:rPr>
        <w:t>report</w:t>
      </w:r>
      <w:r w:rsidR="00B720A8" w:rsidRPr="00905DD7">
        <w:rPr>
          <w:lang w:val="en-GB"/>
        </w:rPr>
        <w:t xml:space="preserve"> </w:t>
      </w:r>
      <w:r>
        <w:rPr>
          <w:lang w:val="en-GB"/>
        </w:rPr>
        <w:t>on</w:t>
      </w:r>
      <w:r w:rsidRPr="00905DD7">
        <w:rPr>
          <w:lang w:val="en-GB"/>
        </w:rPr>
        <w:t xml:space="preserve"> </w:t>
      </w:r>
      <w:r w:rsidR="00B720A8" w:rsidRPr="00905DD7">
        <w:rPr>
          <w:lang w:val="en-GB"/>
        </w:rPr>
        <w:t>solvate ionic liquids</w:t>
      </w:r>
      <w:r>
        <w:rPr>
          <w:lang w:val="en-GB"/>
        </w:rPr>
        <w:t xml:space="preserve"> (SILs)</w:t>
      </w:r>
      <w:r w:rsidR="00B720A8" w:rsidRPr="00905DD7">
        <w:rPr>
          <w:lang w:val="en-GB"/>
        </w:rPr>
        <w:t xml:space="preserve"> based on aluminium(III) or gallium(III) triflate and triglyme (G3) provides </w:t>
      </w:r>
      <w:r>
        <w:rPr>
          <w:lang w:val="en-GB"/>
        </w:rPr>
        <w:t xml:space="preserve">insights into </w:t>
      </w:r>
      <w:r w:rsidR="00B720A8" w:rsidRPr="00905DD7">
        <w:rPr>
          <w:lang w:val="en-GB"/>
        </w:rPr>
        <w:t>the</w:t>
      </w:r>
      <w:r>
        <w:rPr>
          <w:lang w:val="en-GB"/>
        </w:rPr>
        <w:t>ir</w:t>
      </w:r>
      <w:r w:rsidR="00B720A8" w:rsidRPr="00905DD7">
        <w:rPr>
          <w:lang w:val="en-GB"/>
        </w:rPr>
        <w:t xml:space="preserve"> liquid-phase speciation</w:t>
      </w:r>
      <w:r>
        <w:rPr>
          <w:lang w:val="en-GB"/>
        </w:rPr>
        <w:t xml:space="preserve">, thermal stability, Lewis acidity and </w:t>
      </w:r>
      <w:r w:rsidR="00B720A8" w:rsidRPr="00905DD7">
        <w:rPr>
          <w:lang w:val="en-GB"/>
        </w:rPr>
        <w:t>catalytic activity</w:t>
      </w:r>
      <w:r>
        <w:rPr>
          <w:lang w:val="en-GB"/>
        </w:rPr>
        <w:t xml:space="preserve"> in [3</w:t>
      </w:r>
      <w:r w:rsidR="008B4EF3">
        <w:rPr>
          <w:lang w:val="en-GB"/>
        </w:rPr>
        <w:t>+</w:t>
      </w:r>
      <w:r>
        <w:rPr>
          <w:lang w:val="en-GB"/>
        </w:rPr>
        <w:t>3] cycloaddition reactions</w:t>
      </w:r>
      <w:r w:rsidR="00B720A8" w:rsidRPr="00905DD7">
        <w:rPr>
          <w:lang w:val="en-GB"/>
        </w:rPr>
        <w:t>.</w:t>
      </w:r>
    </w:p>
    <w:p w14:paraId="6A59074D" w14:textId="77777777" w:rsidR="00953F89" w:rsidRPr="00905DD7" w:rsidRDefault="00953F89" w:rsidP="001011D8">
      <w:pPr>
        <w:pStyle w:val="RSCR02References"/>
        <w:rPr>
          <w:lang w:val="en-GB"/>
        </w:rPr>
      </w:pPr>
    </w:p>
    <w:sectPr w:rsidR="00953F89" w:rsidRPr="00905DD7" w:rsidSect="006004C5">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B14B0F" w14:textId="77777777" w:rsidR="00D72388" w:rsidRDefault="00D72388" w:rsidP="00E547DB">
      <w:pPr>
        <w:spacing w:after="0" w:line="240" w:lineRule="auto"/>
      </w:pPr>
      <w:r>
        <w:separator/>
      </w:r>
    </w:p>
    <w:p w14:paraId="2B994389" w14:textId="77777777" w:rsidR="00D72388" w:rsidRDefault="00D72388"/>
    <w:p w14:paraId="31C0A461" w14:textId="77777777" w:rsidR="00D72388" w:rsidRDefault="00D72388"/>
    <w:p w14:paraId="466EED43" w14:textId="77777777" w:rsidR="00D72388" w:rsidRDefault="00D72388"/>
    <w:p w14:paraId="2890FCE2" w14:textId="77777777" w:rsidR="00D72388" w:rsidRDefault="00D72388"/>
    <w:p w14:paraId="5D421FE6" w14:textId="77777777" w:rsidR="00D72388" w:rsidRDefault="00D72388"/>
  </w:endnote>
  <w:endnote w:type="continuationSeparator" w:id="0">
    <w:p w14:paraId="2E86DCB0" w14:textId="77777777" w:rsidR="00D72388" w:rsidRDefault="00D72388" w:rsidP="00E547DB">
      <w:pPr>
        <w:spacing w:after="0" w:line="240" w:lineRule="auto"/>
      </w:pPr>
      <w:r>
        <w:continuationSeparator/>
      </w:r>
    </w:p>
    <w:p w14:paraId="06CD25C8" w14:textId="77777777" w:rsidR="00D72388" w:rsidRDefault="00D72388"/>
    <w:p w14:paraId="072F14F8" w14:textId="77777777" w:rsidR="00D72388" w:rsidRDefault="00D72388"/>
    <w:p w14:paraId="3444211F" w14:textId="77777777" w:rsidR="00D72388" w:rsidRDefault="00D72388"/>
    <w:p w14:paraId="34B7707D" w14:textId="77777777" w:rsidR="00D72388" w:rsidRDefault="00D72388"/>
    <w:p w14:paraId="7C633729" w14:textId="77777777" w:rsidR="00D72388" w:rsidRDefault="00D723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BAFC9689-7186-43E9-9916-5879BE4A7D92}"/>
    <w:embedBold r:id="rId2" w:fontKey="{3C5C1C80-542C-4E19-BA91-BE7E5BA11BD2}"/>
    <w:embedItalic r:id="rId3" w:fontKey="{A5FEA0B1-13A4-4488-B899-47A1ABA666C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Regular r:id="rId4" w:fontKey="{8FB1FC4C-0CF7-4B1F-B6F6-673296FDA7E3}"/>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5" w:fontKey="{93117C1B-9647-491E-9D45-7EAC024AA800}"/>
  </w:font>
  <w:font w:name="Times">
    <w:panose1 w:val="02020603050405020304"/>
    <w:charset w:val="EE"/>
    <w:family w:val="roman"/>
    <w:pitch w:val="variable"/>
    <w:sig w:usb0="E0002EFF" w:usb1="C000785B" w:usb2="00000009" w:usb3="00000000" w:csb0="000001FF" w:csb1="00000000"/>
    <w:embedRegular r:id="rId6" w:fontKey="{FD1C79B3-0DAE-4698-9CD8-66C19C62577F}"/>
    <w:embedBold r:id="rId7" w:fontKey="{8B6C5618-1394-4FD6-B13A-E061A31B06BE}"/>
    <w:embedItalic r:id="rId8" w:fontKey="{43C865DB-3EA7-4590-92B3-570F0C1DE4F5}"/>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embedRegular r:id="rId9" w:fontKey="{AC4B52B5-26BA-4115-84D6-AF4C068C15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7C395" w14:textId="53E734BB" w:rsidR="00E70DCE" w:rsidRPr="006602F1" w:rsidRDefault="00E70DCE" w:rsidP="00D45ADF">
    <w:pPr>
      <w:pStyle w:val="Stopka"/>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832766">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sidR="00672928">
      <w:rPr>
        <w:i/>
        <w:noProof/>
        <w:spacing w:val="10"/>
        <w:sz w:val="16"/>
        <w:szCs w:val="16"/>
      </w:rPr>
      <w:t>J</w:t>
    </w:r>
    <w:r w:rsidRPr="006602F1">
      <w:rPr>
        <w:i/>
        <w:noProof/>
        <w:spacing w:val="10"/>
        <w:sz w:val="16"/>
        <w:szCs w:val="16"/>
      </w:rPr>
      <w:t xml:space="preserve">. </w:t>
    </w:r>
    <w:r w:rsidR="00672928">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004877C8" w:rsidRPr="006602F1">
      <w:rPr>
        <w:noProof/>
        <w:spacing w:val="10"/>
        <w:sz w:val="16"/>
        <w:szCs w:val="16"/>
      </w:rPr>
      <w:tab/>
    </w:r>
    <w:r w:rsidR="004877C8" w:rsidRPr="00AC3BF2">
      <w:rPr>
        <w:noProof/>
        <w:spacing w:val="2"/>
        <w:sz w:val="16"/>
        <w:szCs w:val="16"/>
      </w:rPr>
      <w:t xml:space="preserve">This journal is </w:t>
    </w:r>
    <w:r w:rsidR="004877C8" w:rsidRPr="00AC3BF2">
      <w:rPr>
        <w:rFonts w:cstheme="minorHAnsi"/>
        <w:noProof/>
        <w:spacing w:val="2"/>
        <w:sz w:val="16"/>
        <w:szCs w:val="16"/>
      </w:rPr>
      <w:t>©</w:t>
    </w:r>
    <w:r w:rsidR="004877C8" w:rsidRPr="00AC3BF2">
      <w:rPr>
        <w:noProof/>
        <w:spacing w:val="2"/>
        <w:sz w:val="16"/>
        <w:szCs w:val="16"/>
      </w:rPr>
      <w:t xml:space="preserve"> The Royal Society of Chemistry 20</w:t>
    </w:r>
    <w:r w:rsidR="00180ABE">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C148E" w14:textId="77777777" w:rsidR="004877C8" w:rsidRPr="006602F1" w:rsidRDefault="00180ABE" w:rsidP="00D45ADF">
    <w:pPr>
      <w:pStyle w:val="Stopka"/>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F157D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C4DD8" w14:textId="77777777" w:rsidR="00E70DCE" w:rsidRPr="006602F1" w:rsidRDefault="00514CBA" w:rsidP="00D45ADF">
    <w:pPr>
      <w:pStyle w:val="Stopka"/>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kmIA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" fillcolor="#a5a5a5 [2092]" stroked="f">
              <v:textbo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00E70DCE"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A7CCCD" w14:textId="77777777" w:rsidR="00D72388" w:rsidRDefault="00D72388" w:rsidP="00E547DB">
      <w:pPr>
        <w:spacing w:after="0" w:line="240" w:lineRule="auto"/>
      </w:pPr>
      <w:r>
        <w:separator/>
      </w:r>
    </w:p>
    <w:p w14:paraId="5A68C1B8" w14:textId="77777777" w:rsidR="00D72388" w:rsidRDefault="00D72388"/>
    <w:p w14:paraId="7FDC833C" w14:textId="77777777" w:rsidR="00D72388" w:rsidRDefault="00D72388"/>
    <w:p w14:paraId="49A39B5E" w14:textId="77777777" w:rsidR="00D72388" w:rsidRDefault="00D72388"/>
    <w:p w14:paraId="248C47AE" w14:textId="77777777" w:rsidR="00D72388" w:rsidRDefault="00D72388"/>
    <w:p w14:paraId="34A6B295" w14:textId="77777777" w:rsidR="00D72388" w:rsidRDefault="00D72388"/>
  </w:footnote>
  <w:footnote w:type="continuationSeparator" w:id="0">
    <w:p w14:paraId="633B7610" w14:textId="77777777" w:rsidR="00D72388" w:rsidRDefault="00D72388" w:rsidP="00E547DB">
      <w:pPr>
        <w:spacing w:after="0" w:line="240" w:lineRule="auto"/>
      </w:pPr>
      <w:r>
        <w:continuationSeparator/>
      </w:r>
    </w:p>
    <w:p w14:paraId="7B2D1D0C" w14:textId="77777777" w:rsidR="00D72388" w:rsidRDefault="00D72388"/>
    <w:p w14:paraId="0CC06261" w14:textId="77777777" w:rsidR="00D72388" w:rsidRDefault="00D72388"/>
    <w:p w14:paraId="4B8AD105" w14:textId="77777777" w:rsidR="00D72388" w:rsidRDefault="00D72388"/>
    <w:p w14:paraId="278185FC" w14:textId="77777777" w:rsidR="00D72388" w:rsidRDefault="00D72388"/>
    <w:p w14:paraId="2EFDCDDE" w14:textId="77777777" w:rsidR="00D72388" w:rsidRDefault="00D723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5D6BB" w14:textId="77777777" w:rsidR="009316A6" w:rsidRPr="00E70DCE" w:rsidRDefault="00514CBA" w:rsidP="00D45ADF">
    <w:pPr>
      <w:pStyle w:val="Nagwek"/>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8n7HAIAABs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" fillcolor="#a5a5a5 [2092]" stroked="f">
              <v:textbo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YIHg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" fillcolor="#a5a5a5 [2092]" stroked="f">
              <v:textbo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F157DD">
      <w:rPr>
        <w:rFonts w:cstheme="minorHAnsi"/>
        <w:b/>
        <w:color w:val="999999"/>
        <w:sz w:val="20"/>
        <w:szCs w:val="20"/>
      </w:rPr>
      <w:t>ARTICLE</w:t>
    </w:r>
    <w:r w:rsidR="0052630A" w:rsidRPr="00E70DCE">
      <w:rPr>
        <w:rFonts w:cstheme="minorHAnsi"/>
        <w:color w:val="999999"/>
        <w:sz w:val="20"/>
        <w:szCs w:val="20"/>
      </w:rPr>
      <w:tab/>
    </w:r>
    <w:r w:rsidR="00672928">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68EC0D" w14:textId="77777777" w:rsidR="009316A6" w:rsidRPr="009316A6" w:rsidRDefault="00514CBA" w:rsidP="00D45ADF">
    <w:pPr>
      <w:pStyle w:val="Nagwek"/>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v2C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l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Jcv2CIQIAACIEAAAOAAAAAAAAAAAAAAAAAC4CAABkcnMvZTJvRG9jLnhtbFBL&#10;AQItABQABgAIAAAAIQDAptG33AAAAAUBAAAPAAAAAAAAAAAAAAAAAHsEAABkcnMvZG93bnJldi54&#10;bWxQSwUGAAAAAAQABADzAAAAhAUAAAAA&#10;" fillcolor="#a5a5a5 [2092]" stroked="f">
              <v:textbo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" fillcolor="#a5a5a5 [2092]" stroked="f">
              <v:textbo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ptab w:relativeTo="margin" w:alignment="right" w:leader="none"/>
    </w:r>
    <w:r w:rsidR="00E46BDF" w:rsidRPr="00E46BDF">
      <w:rPr>
        <w:rFonts w:cstheme="minorHAnsi"/>
        <w:b/>
        <w:color w:val="999999"/>
        <w:sz w:val="20"/>
        <w:szCs w:val="20"/>
      </w:rPr>
      <w:t xml:space="preserve"> </w:t>
    </w:r>
    <w:r w:rsidR="00F157DD">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27CF2" w14:textId="77777777" w:rsidR="00180ABE" w:rsidRDefault="00514CBA" w:rsidP="00180ABE">
    <w:pPr>
      <w:pStyle w:val="Nagwek"/>
      <w:shd w:val="clear" w:color="auto" w:fill="FFFFFF" w:themeFill="background1"/>
      <w:tabs>
        <w:tab w:val="clear" w:pos="4513"/>
        <w:tab w:val="clear" w:pos="9026"/>
        <w:tab w:val="right" w:pos="10205"/>
      </w:tabs>
      <w:spacing w:after="240"/>
      <w:rPr>
        <w:b/>
        <w:noProof/>
        <w:sz w:val="32"/>
        <w:szCs w:val="32"/>
        <w:lang w:eastAsia="en-GB"/>
      </w:rPr>
    </w:pPr>
    <w:r>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W7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n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CSFW7IQIAACIEAAAOAAAAAAAAAAAAAAAAAC4CAABkcnMvZTJvRG9jLnhtbFBL&#10;AQItABQABgAIAAAAIQDAptG33AAAAAUBAAAPAAAAAAAAAAAAAAAAAHsEAABkcnMvZG93bnJldi54&#10;bWxQSwUGAAAAAAQABADzAAAAhAUAAAAA&#10;" fillcolor="#a5a5a5 [2092]" stroked="f">
              <v:textbo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180ABE">
      <w:rPr>
        <w:b/>
        <w:sz w:val="32"/>
        <w:szCs w:val="32"/>
      </w:rPr>
      <w:tab/>
    </w:r>
  </w:p>
  <w:p w14:paraId="25301B85" w14:textId="77777777" w:rsidR="00BA42DD" w:rsidRDefault="00BA42DD" w:rsidP="00180ABE">
    <w:pPr>
      <w:pStyle w:val="Nagwek"/>
      <w:shd w:val="clear" w:color="auto" w:fill="FFFFFF" w:themeFill="background1"/>
      <w:tabs>
        <w:tab w:val="clear" w:pos="4513"/>
        <w:tab w:val="clear" w:pos="9026"/>
        <w:tab w:val="right" w:pos="10205"/>
      </w:tabs>
      <w:spacing w:after="240"/>
      <w:rPr>
        <w:b/>
        <w:sz w:val="32"/>
        <w:szCs w:val="32"/>
      </w:rPr>
    </w:pPr>
  </w:p>
  <w:p w14:paraId="419C7B5B" w14:textId="77777777" w:rsidR="00180ABE" w:rsidRPr="00180ABE" w:rsidRDefault="00B70B18" w:rsidP="00180ABE">
    <w:pPr>
      <w:pStyle w:val="Nagwek"/>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9"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36711314">
    <w:abstractNumId w:val="0"/>
  </w:num>
  <w:num w:numId="2" w16cid:durableId="579872007">
    <w:abstractNumId w:val="6"/>
  </w:num>
  <w:num w:numId="3" w16cid:durableId="2019427117">
    <w:abstractNumId w:val="5"/>
  </w:num>
  <w:num w:numId="4" w16cid:durableId="1653949026">
    <w:abstractNumId w:val="11"/>
  </w:num>
  <w:num w:numId="5" w16cid:durableId="1976793905">
    <w:abstractNumId w:val="10"/>
  </w:num>
  <w:num w:numId="6" w16cid:durableId="1931431918">
    <w:abstractNumId w:val="2"/>
  </w:num>
  <w:num w:numId="7" w16cid:durableId="295331157">
    <w:abstractNumId w:val="7"/>
  </w:num>
  <w:num w:numId="8" w16cid:durableId="1133720423">
    <w:abstractNumId w:val="3"/>
  </w:num>
  <w:num w:numId="9" w16cid:durableId="1075468830">
    <w:abstractNumId w:val="1"/>
  </w:num>
  <w:num w:numId="10" w16cid:durableId="1841657299">
    <w:abstractNumId w:val="4"/>
  </w:num>
  <w:num w:numId="11" w16cid:durableId="370495803">
    <w:abstractNumId w:val="9"/>
  </w:num>
  <w:num w:numId="12" w16cid:durableId="3149894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284"/>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5B8A"/>
    <w:rsid w:val="00022D8A"/>
    <w:rsid w:val="000232AB"/>
    <w:rsid w:val="000267C2"/>
    <w:rsid w:val="000268B9"/>
    <w:rsid w:val="0003744F"/>
    <w:rsid w:val="0004233C"/>
    <w:rsid w:val="00045868"/>
    <w:rsid w:val="000622D1"/>
    <w:rsid w:val="00071E41"/>
    <w:rsid w:val="00073639"/>
    <w:rsid w:val="00081C7D"/>
    <w:rsid w:val="00093EF0"/>
    <w:rsid w:val="000A265C"/>
    <w:rsid w:val="000A2670"/>
    <w:rsid w:val="000A2CEA"/>
    <w:rsid w:val="000C0A9D"/>
    <w:rsid w:val="000C0F4F"/>
    <w:rsid w:val="000C439F"/>
    <w:rsid w:val="000D2FAC"/>
    <w:rsid w:val="000D50CC"/>
    <w:rsid w:val="000D5891"/>
    <w:rsid w:val="000D6963"/>
    <w:rsid w:val="000E2081"/>
    <w:rsid w:val="000E2B3F"/>
    <w:rsid w:val="000E55EA"/>
    <w:rsid w:val="000E707C"/>
    <w:rsid w:val="000E7A32"/>
    <w:rsid w:val="000F0193"/>
    <w:rsid w:val="000F0959"/>
    <w:rsid w:val="000F3A41"/>
    <w:rsid w:val="000F6CC5"/>
    <w:rsid w:val="001011D8"/>
    <w:rsid w:val="00101D06"/>
    <w:rsid w:val="0011439F"/>
    <w:rsid w:val="001157EB"/>
    <w:rsid w:val="00120227"/>
    <w:rsid w:val="00126027"/>
    <w:rsid w:val="00130685"/>
    <w:rsid w:val="001347D4"/>
    <w:rsid w:val="001508E9"/>
    <w:rsid w:val="00151817"/>
    <w:rsid w:val="001633D9"/>
    <w:rsid w:val="001674DF"/>
    <w:rsid w:val="00180ABE"/>
    <w:rsid w:val="00187071"/>
    <w:rsid w:val="00190E88"/>
    <w:rsid w:val="00191FD2"/>
    <w:rsid w:val="001923AB"/>
    <w:rsid w:val="001925B0"/>
    <w:rsid w:val="001956D7"/>
    <w:rsid w:val="001A3D04"/>
    <w:rsid w:val="001A6712"/>
    <w:rsid w:val="001B151D"/>
    <w:rsid w:val="001B324D"/>
    <w:rsid w:val="001C1EB8"/>
    <w:rsid w:val="001C28BC"/>
    <w:rsid w:val="001D79F1"/>
    <w:rsid w:val="001F0B93"/>
    <w:rsid w:val="001F5464"/>
    <w:rsid w:val="00206A82"/>
    <w:rsid w:val="00214BEC"/>
    <w:rsid w:val="00214E71"/>
    <w:rsid w:val="00217A83"/>
    <w:rsid w:val="002266A9"/>
    <w:rsid w:val="00230950"/>
    <w:rsid w:val="002324FA"/>
    <w:rsid w:val="002373AF"/>
    <w:rsid w:val="00237C8A"/>
    <w:rsid w:val="0024022C"/>
    <w:rsid w:val="00240353"/>
    <w:rsid w:val="00241ACD"/>
    <w:rsid w:val="002445D9"/>
    <w:rsid w:val="00245F43"/>
    <w:rsid w:val="0025076F"/>
    <w:rsid w:val="0025298F"/>
    <w:rsid w:val="00253551"/>
    <w:rsid w:val="00255A4F"/>
    <w:rsid w:val="00261CC9"/>
    <w:rsid w:val="002620F4"/>
    <w:rsid w:val="0026470D"/>
    <w:rsid w:val="002671D6"/>
    <w:rsid w:val="00267BC1"/>
    <w:rsid w:val="00270DD5"/>
    <w:rsid w:val="00271235"/>
    <w:rsid w:val="00272D6F"/>
    <w:rsid w:val="00281603"/>
    <w:rsid w:val="002832DD"/>
    <w:rsid w:val="00295FD6"/>
    <w:rsid w:val="002975E2"/>
    <w:rsid w:val="002A1D82"/>
    <w:rsid w:val="002A223A"/>
    <w:rsid w:val="002A5421"/>
    <w:rsid w:val="002A55E4"/>
    <w:rsid w:val="002B321E"/>
    <w:rsid w:val="002B4934"/>
    <w:rsid w:val="002B62B5"/>
    <w:rsid w:val="002C0803"/>
    <w:rsid w:val="002C251C"/>
    <w:rsid w:val="002C3D7C"/>
    <w:rsid w:val="002C4BDC"/>
    <w:rsid w:val="002C6042"/>
    <w:rsid w:val="002D455B"/>
    <w:rsid w:val="002E5B1D"/>
    <w:rsid w:val="002F3D0C"/>
    <w:rsid w:val="002F52C3"/>
    <w:rsid w:val="00300513"/>
    <w:rsid w:val="00315192"/>
    <w:rsid w:val="00317B1E"/>
    <w:rsid w:val="00346A5B"/>
    <w:rsid w:val="00352029"/>
    <w:rsid w:val="00352AA4"/>
    <w:rsid w:val="00353560"/>
    <w:rsid w:val="00354579"/>
    <w:rsid w:val="00356F00"/>
    <w:rsid w:val="00360DE3"/>
    <w:rsid w:val="003656C7"/>
    <w:rsid w:val="00377481"/>
    <w:rsid w:val="003825C8"/>
    <w:rsid w:val="00385965"/>
    <w:rsid w:val="00395B53"/>
    <w:rsid w:val="003A3F2C"/>
    <w:rsid w:val="003A7E95"/>
    <w:rsid w:val="003B739C"/>
    <w:rsid w:val="003C10AC"/>
    <w:rsid w:val="003C6313"/>
    <w:rsid w:val="003D0279"/>
    <w:rsid w:val="003D3405"/>
    <w:rsid w:val="003D3487"/>
    <w:rsid w:val="003D4ECA"/>
    <w:rsid w:val="003D6715"/>
    <w:rsid w:val="003D7E0C"/>
    <w:rsid w:val="003E55B2"/>
    <w:rsid w:val="003F4AFA"/>
    <w:rsid w:val="00400C14"/>
    <w:rsid w:val="00420BFE"/>
    <w:rsid w:val="0043180D"/>
    <w:rsid w:val="0043276C"/>
    <w:rsid w:val="004414A5"/>
    <w:rsid w:val="00442B26"/>
    <w:rsid w:val="0044700B"/>
    <w:rsid w:val="004622A3"/>
    <w:rsid w:val="00467171"/>
    <w:rsid w:val="00467C80"/>
    <w:rsid w:val="00474052"/>
    <w:rsid w:val="00474433"/>
    <w:rsid w:val="0047645B"/>
    <w:rsid w:val="00481DFE"/>
    <w:rsid w:val="004877C8"/>
    <w:rsid w:val="004901D3"/>
    <w:rsid w:val="004A7009"/>
    <w:rsid w:val="004B0756"/>
    <w:rsid w:val="004B5EA4"/>
    <w:rsid w:val="004C0F53"/>
    <w:rsid w:val="004C531E"/>
    <w:rsid w:val="004C5805"/>
    <w:rsid w:val="004C6C90"/>
    <w:rsid w:val="004D24F2"/>
    <w:rsid w:val="00500B38"/>
    <w:rsid w:val="0050365F"/>
    <w:rsid w:val="005037CD"/>
    <w:rsid w:val="00504795"/>
    <w:rsid w:val="00514CBA"/>
    <w:rsid w:val="00516C63"/>
    <w:rsid w:val="0052630A"/>
    <w:rsid w:val="0053177A"/>
    <w:rsid w:val="00533EA1"/>
    <w:rsid w:val="00554CBE"/>
    <w:rsid w:val="00562A89"/>
    <w:rsid w:val="005771C3"/>
    <w:rsid w:val="00577B54"/>
    <w:rsid w:val="00582140"/>
    <w:rsid w:val="00590F6D"/>
    <w:rsid w:val="005924EA"/>
    <w:rsid w:val="005A5A6D"/>
    <w:rsid w:val="005A5ED7"/>
    <w:rsid w:val="005A7272"/>
    <w:rsid w:val="005C1A41"/>
    <w:rsid w:val="005C4565"/>
    <w:rsid w:val="005C587F"/>
    <w:rsid w:val="005E05CD"/>
    <w:rsid w:val="006004C5"/>
    <w:rsid w:val="0060627E"/>
    <w:rsid w:val="0061572F"/>
    <w:rsid w:val="00616D34"/>
    <w:rsid w:val="006218B7"/>
    <w:rsid w:val="00631441"/>
    <w:rsid w:val="00633788"/>
    <w:rsid w:val="00641030"/>
    <w:rsid w:val="00645D52"/>
    <w:rsid w:val="0065133B"/>
    <w:rsid w:val="00652234"/>
    <w:rsid w:val="00652CF2"/>
    <w:rsid w:val="006556AC"/>
    <w:rsid w:val="006602F1"/>
    <w:rsid w:val="00666639"/>
    <w:rsid w:val="00667576"/>
    <w:rsid w:val="00670ED4"/>
    <w:rsid w:val="00672928"/>
    <w:rsid w:val="00674A86"/>
    <w:rsid w:val="00682276"/>
    <w:rsid w:val="00687770"/>
    <w:rsid w:val="006A4D6D"/>
    <w:rsid w:val="006A6069"/>
    <w:rsid w:val="006A69C8"/>
    <w:rsid w:val="006B024A"/>
    <w:rsid w:val="006B218D"/>
    <w:rsid w:val="006D6163"/>
    <w:rsid w:val="006E0DB0"/>
    <w:rsid w:val="006E58B1"/>
    <w:rsid w:val="006E6C0D"/>
    <w:rsid w:val="006F01C4"/>
    <w:rsid w:val="006F487B"/>
    <w:rsid w:val="006F740B"/>
    <w:rsid w:val="00704B34"/>
    <w:rsid w:val="00716115"/>
    <w:rsid w:val="007308C9"/>
    <w:rsid w:val="00744A41"/>
    <w:rsid w:val="00780A41"/>
    <w:rsid w:val="007859C5"/>
    <w:rsid w:val="00786F4F"/>
    <w:rsid w:val="00787068"/>
    <w:rsid w:val="00794787"/>
    <w:rsid w:val="0079714B"/>
    <w:rsid w:val="007A37D8"/>
    <w:rsid w:val="007C124A"/>
    <w:rsid w:val="007C3D03"/>
    <w:rsid w:val="007C6D9B"/>
    <w:rsid w:val="007D1EFA"/>
    <w:rsid w:val="007D5FE4"/>
    <w:rsid w:val="007F46EE"/>
    <w:rsid w:val="00810CE7"/>
    <w:rsid w:val="008125A0"/>
    <w:rsid w:val="00816802"/>
    <w:rsid w:val="00821DC5"/>
    <w:rsid w:val="00832766"/>
    <w:rsid w:val="0083367C"/>
    <w:rsid w:val="00841B74"/>
    <w:rsid w:val="008439A5"/>
    <w:rsid w:val="008560DE"/>
    <w:rsid w:val="00862FA8"/>
    <w:rsid w:val="0087162A"/>
    <w:rsid w:val="00883777"/>
    <w:rsid w:val="0088525A"/>
    <w:rsid w:val="00887323"/>
    <w:rsid w:val="0089132E"/>
    <w:rsid w:val="0089395C"/>
    <w:rsid w:val="0089691D"/>
    <w:rsid w:val="008A0D60"/>
    <w:rsid w:val="008B4EF3"/>
    <w:rsid w:val="008B5D06"/>
    <w:rsid w:val="008B67C6"/>
    <w:rsid w:val="008C1387"/>
    <w:rsid w:val="008C682F"/>
    <w:rsid w:val="008D20E4"/>
    <w:rsid w:val="008E2950"/>
    <w:rsid w:val="008E4C86"/>
    <w:rsid w:val="008E509B"/>
    <w:rsid w:val="008F4811"/>
    <w:rsid w:val="008F525A"/>
    <w:rsid w:val="009026D4"/>
    <w:rsid w:val="00905DD7"/>
    <w:rsid w:val="00911F18"/>
    <w:rsid w:val="009250AC"/>
    <w:rsid w:val="0092763E"/>
    <w:rsid w:val="009316A6"/>
    <w:rsid w:val="00936114"/>
    <w:rsid w:val="009400E9"/>
    <w:rsid w:val="00946830"/>
    <w:rsid w:val="00953F89"/>
    <w:rsid w:val="009626ED"/>
    <w:rsid w:val="00962779"/>
    <w:rsid w:val="009654EC"/>
    <w:rsid w:val="00977885"/>
    <w:rsid w:val="009918D9"/>
    <w:rsid w:val="009A1689"/>
    <w:rsid w:val="009A392D"/>
    <w:rsid w:val="009B045D"/>
    <w:rsid w:val="009B4D0D"/>
    <w:rsid w:val="009C4A85"/>
    <w:rsid w:val="009D17C3"/>
    <w:rsid w:val="009D47C2"/>
    <w:rsid w:val="009D491F"/>
    <w:rsid w:val="009D5BCF"/>
    <w:rsid w:val="009D73C7"/>
    <w:rsid w:val="009E51F8"/>
    <w:rsid w:val="009F2649"/>
    <w:rsid w:val="00A05364"/>
    <w:rsid w:val="00A074D7"/>
    <w:rsid w:val="00A07D11"/>
    <w:rsid w:val="00A10350"/>
    <w:rsid w:val="00A15970"/>
    <w:rsid w:val="00A17D23"/>
    <w:rsid w:val="00A208E1"/>
    <w:rsid w:val="00A346DB"/>
    <w:rsid w:val="00A521AB"/>
    <w:rsid w:val="00A56CD0"/>
    <w:rsid w:val="00A61D3E"/>
    <w:rsid w:val="00A7089F"/>
    <w:rsid w:val="00A7643E"/>
    <w:rsid w:val="00A8175C"/>
    <w:rsid w:val="00A837DA"/>
    <w:rsid w:val="00A9649E"/>
    <w:rsid w:val="00AA1341"/>
    <w:rsid w:val="00AA1EFB"/>
    <w:rsid w:val="00AB16D0"/>
    <w:rsid w:val="00AB2C1B"/>
    <w:rsid w:val="00AB681A"/>
    <w:rsid w:val="00AC3BF2"/>
    <w:rsid w:val="00AD5483"/>
    <w:rsid w:val="00AD5F7C"/>
    <w:rsid w:val="00AF0249"/>
    <w:rsid w:val="00AF150F"/>
    <w:rsid w:val="00AF4737"/>
    <w:rsid w:val="00AF66FC"/>
    <w:rsid w:val="00B0470A"/>
    <w:rsid w:val="00B14824"/>
    <w:rsid w:val="00B2193E"/>
    <w:rsid w:val="00B2364D"/>
    <w:rsid w:val="00B27239"/>
    <w:rsid w:val="00B34894"/>
    <w:rsid w:val="00B37ADE"/>
    <w:rsid w:val="00B41DAC"/>
    <w:rsid w:val="00B53582"/>
    <w:rsid w:val="00B6239D"/>
    <w:rsid w:val="00B64559"/>
    <w:rsid w:val="00B67630"/>
    <w:rsid w:val="00B70B18"/>
    <w:rsid w:val="00B720A8"/>
    <w:rsid w:val="00B722DE"/>
    <w:rsid w:val="00B73650"/>
    <w:rsid w:val="00B75DB3"/>
    <w:rsid w:val="00B80DDB"/>
    <w:rsid w:val="00B81EE1"/>
    <w:rsid w:val="00B82FB8"/>
    <w:rsid w:val="00B9392D"/>
    <w:rsid w:val="00BA0781"/>
    <w:rsid w:val="00BA42DD"/>
    <w:rsid w:val="00BA761E"/>
    <w:rsid w:val="00BB1181"/>
    <w:rsid w:val="00BB3FBE"/>
    <w:rsid w:val="00BC44B9"/>
    <w:rsid w:val="00BC603D"/>
    <w:rsid w:val="00BC7C0A"/>
    <w:rsid w:val="00BD56AD"/>
    <w:rsid w:val="00BF0131"/>
    <w:rsid w:val="00BF6BD9"/>
    <w:rsid w:val="00C03CE1"/>
    <w:rsid w:val="00C11E1F"/>
    <w:rsid w:val="00C1259D"/>
    <w:rsid w:val="00C3016F"/>
    <w:rsid w:val="00C31922"/>
    <w:rsid w:val="00C32EDF"/>
    <w:rsid w:val="00C3787B"/>
    <w:rsid w:val="00C405FD"/>
    <w:rsid w:val="00C42573"/>
    <w:rsid w:val="00C5024A"/>
    <w:rsid w:val="00C5705F"/>
    <w:rsid w:val="00C57107"/>
    <w:rsid w:val="00C6265D"/>
    <w:rsid w:val="00C62C2D"/>
    <w:rsid w:val="00C649AC"/>
    <w:rsid w:val="00C7066D"/>
    <w:rsid w:val="00C8269D"/>
    <w:rsid w:val="00C9227C"/>
    <w:rsid w:val="00C9420D"/>
    <w:rsid w:val="00C9557D"/>
    <w:rsid w:val="00CA2740"/>
    <w:rsid w:val="00CA3208"/>
    <w:rsid w:val="00CB4308"/>
    <w:rsid w:val="00CC12E6"/>
    <w:rsid w:val="00CC2E25"/>
    <w:rsid w:val="00CC7C64"/>
    <w:rsid w:val="00CD0B47"/>
    <w:rsid w:val="00CD1395"/>
    <w:rsid w:val="00CD7BC2"/>
    <w:rsid w:val="00CE0E5C"/>
    <w:rsid w:val="00CE7C66"/>
    <w:rsid w:val="00CF5F1A"/>
    <w:rsid w:val="00D010E8"/>
    <w:rsid w:val="00D02C04"/>
    <w:rsid w:val="00D04C70"/>
    <w:rsid w:val="00D138E8"/>
    <w:rsid w:val="00D20259"/>
    <w:rsid w:val="00D208BA"/>
    <w:rsid w:val="00D21668"/>
    <w:rsid w:val="00D216BC"/>
    <w:rsid w:val="00D33494"/>
    <w:rsid w:val="00D34F16"/>
    <w:rsid w:val="00D42F8F"/>
    <w:rsid w:val="00D4443C"/>
    <w:rsid w:val="00D45ADF"/>
    <w:rsid w:val="00D5609C"/>
    <w:rsid w:val="00D7010B"/>
    <w:rsid w:val="00D72388"/>
    <w:rsid w:val="00D82770"/>
    <w:rsid w:val="00D93E46"/>
    <w:rsid w:val="00DA07F1"/>
    <w:rsid w:val="00DB1C8E"/>
    <w:rsid w:val="00DB1E9A"/>
    <w:rsid w:val="00DB5EEE"/>
    <w:rsid w:val="00DC15C2"/>
    <w:rsid w:val="00DD06F4"/>
    <w:rsid w:val="00DD500F"/>
    <w:rsid w:val="00DD5C06"/>
    <w:rsid w:val="00DE0188"/>
    <w:rsid w:val="00DE0469"/>
    <w:rsid w:val="00DF4A39"/>
    <w:rsid w:val="00DF53E4"/>
    <w:rsid w:val="00DF7758"/>
    <w:rsid w:val="00E01932"/>
    <w:rsid w:val="00E01F3B"/>
    <w:rsid w:val="00E07B9B"/>
    <w:rsid w:val="00E1412C"/>
    <w:rsid w:val="00E16CD2"/>
    <w:rsid w:val="00E16D9E"/>
    <w:rsid w:val="00E2136E"/>
    <w:rsid w:val="00E21961"/>
    <w:rsid w:val="00E250CD"/>
    <w:rsid w:val="00E25AF8"/>
    <w:rsid w:val="00E31A6A"/>
    <w:rsid w:val="00E36F5C"/>
    <w:rsid w:val="00E46BDF"/>
    <w:rsid w:val="00E513B5"/>
    <w:rsid w:val="00E547DB"/>
    <w:rsid w:val="00E555BF"/>
    <w:rsid w:val="00E55FA3"/>
    <w:rsid w:val="00E61653"/>
    <w:rsid w:val="00E61949"/>
    <w:rsid w:val="00E70DCE"/>
    <w:rsid w:val="00E731A3"/>
    <w:rsid w:val="00E80297"/>
    <w:rsid w:val="00E83437"/>
    <w:rsid w:val="00E83CC7"/>
    <w:rsid w:val="00E87276"/>
    <w:rsid w:val="00E91D42"/>
    <w:rsid w:val="00EA0A41"/>
    <w:rsid w:val="00EA446A"/>
    <w:rsid w:val="00EA76DD"/>
    <w:rsid w:val="00EA7DC1"/>
    <w:rsid w:val="00EB5BA2"/>
    <w:rsid w:val="00EB5C28"/>
    <w:rsid w:val="00EB6673"/>
    <w:rsid w:val="00EC5B75"/>
    <w:rsid w:val="00EC6884"/>
    <w:rsid w:val="00ED145C"/>
    <w:rsid w:val="00ED3B9C"/>
    <w:rsid w:val="00ED61EB"/>
    <w:rsid w:val="00EE1D6C"/>
    <w:rsid w:val="00EE3AFB"/>
    <w:rsid w:val="00EE61BD"/>
    <w:rsid w:val="00EF0D19"/>
    <w:rsid w:val="00EF1577"/>
    <w:rsid w:val="00EF5A2A"/>
    <w:rsid w:val="00EF6BD4"/>
    <w:rsid w:val="00F02A47"/>
    <w:rsid w:val="00F05C18"/>
    <w:rsid w:val="00F0753A"/>
    <w:rsid w:val="00F14CBD"/>
    <w:rsid w:val="00F157DD"/>
    <w:rsid w:val="00F15F90"/>
    <w:rsid w:val="00F161FF"/>
    <w:rsid w:val="00F17611"/>
    <w:rsid w:val="00F21465"/>
    <w:rsid w:val="00F6065C"/>
    <w:rsid w:val="00F61EB1"/>
    <w:rsid w:val="00F62888"/>
    <w:rsid w:val="00F62C8B"/>
    <w:rsid w:val="00F63B45"/>
    <w:rsid w:val="00F71F8F"/>
    <w:rsid w:val="00F802D4"/>
    <w:rsid w:val="00F877D8"/>
    <w:rsid w:val="00F91982"/>
    <w:rsid w:val="00FA138B"/>
    <w:rsid w:val="00FA2DA2"/>
    <w:rsid w:val="00FA2DEF"/>
    <w:rsid w:val="00FA311A"/>
    <w:rsid w:val="00FB16A8"/>
    <w:rsid w:val="00FB525E"/>
    <w:rsid w:val="00FB74D4"/>
    <w:rsid w:val="00FC099A"/>
    <w:rsid w:val="00FC1AAD"/>
    <w:rsid w:val="00FE032E"/>
    <w:rsid w:val="00FE0FE8"/>
    <w:rsid w:val="00FF56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F81D6"/>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EF1577"/>
  </w:style>
  <w:style w:type="paragraph" w:styleId="Nagwek1">
    <w:name w:val="heading 1"/>
    <w:basedOn w:val="Normalny"/>
    <w:next w:val="Normalny"/>
    <w:link w:val="Nagwek1Znak"/>
    <w:uiPriority w:val="9"/>
    <w:rsid w:val="00FA2DE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semiHidden/>
    <w:unhideWhenUsed/>
    <w:rsid w:val="00500B38"/>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547DB"/>
    <w:pPr>
      <w:tabs>
        <w:tab w:val="center" w:pos="4513"/>
        <w:tab w:val="right" w:pos="9026"/>
      </w:tabs>
      <w:spacing w:after="0" w:line="240" w:lineRule="auto"/>
    </w:pPr>
  </w:style>
  <w:style w:type="character" w:customStyle="1" w:styleId="NagwekZnak">
    <w:name w:val="Nagłówek Znak"/>
    <w:basedOn w:val="Domylnaczcionkaakapitu"/>
    <w:link w:val="Nagwek"/>
    <w:uiPriority w:val="99"/>
    <w:rsid w:val="00E547DB"/>
  </w:style>
  <w:style w:type="paragraph" w:styleId="Stopka">
    <w:name w:val="footer"/>
    <w:basedOn w:val="Normalny"/>
    <w:link w:val="StopkaZnak"/>
    <w:uiPriority w:val="99"/>
    <w:unhideWhenUsed/>
    <w:rsid w:val="00E547DB"/>
    <w:pPr>
      <w:tabs>
        <w:tab w:val="center" w:pos="4513"/>
        <w:tab w:val="right" w:pos="9026"/>
      </w:tabs>
      <w:spacing w:after="0" w:line="240" w:lineRule="auto"/>
    </w:pPr>
  </w:style>
  <w:style w:type="character" w:customStyle="1" w:styleId="StopkaZnak">
    <w:name w:val="Stopka Znak"/>
    <w:basedOn w:val="Domylnaczcionkaakapitu"/>
    <w:link w:val="Stopka"/>
    <w:uiPriority w:val="99"/>
    <w:rsid w:val="00E547DB"/>
  </w:style>
  <w:style w:type="paragraph" w:styleId="Tekstdymka">
    <w:name w:val="Balloon Text"/>
    <w:basedOn w:val="Normalny"/>
    <w:link w:val="TekstdymkaZnak"/>
    <w:uiPriority w:val="99"/>
    <w:semiHidden/>
    <w:unhideWhenUsed/>
    <w:rsid w:val="00E547D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547DB"/>
    <w:rPr>
      <w:rFonts w:ascii="Tahoma" w:hAnsi="Tahoma" w:cs="Tahoma"/>
      <w:sz w:val="16"/>
      <w:szCs w:val="16"/>
    </w:rPr>
  </w:style>
  <w:style w:type="paragraph" w:customStyle="1" w:styleId="RSCH01PaperTitle">
    <w:name w:val="RSC H01 Paper Title"/>
    <w:basedOn w:val="Normalny"/>
    <w:next w:val="Normalny"/>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ny"/>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ny"/>
    <w:link w:val="RSCB01ARTAbstractChar"/>
    <w:qFormat/>
    <w:rsid w:val="00FA2DA2"/>
    <w:pPr>
      <w:spacing w:line="240" w:lineRule="exact"/>
      <w:jc w:val="both"/>
    </w:pPr>
    <w:rPr>
      <w:noProof/>
      <w:sz w:val="16"/>
      <w:lang w:eastAsia="en-GB"/>
    </w:rPr>
  </w:style>
  <w:style w:type="table" w:styleId="Tabela-Siatka">
    <w:name w:val="Table Grid"/>
    <w:basedOn w:val="Standardowy"/>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ny"/>
    <w:link w:val="RSCB02ArticleTextChar"/>
    <w:qFormat/>
    <w:rsid w:val="001011D8"/>
    <w:pPr>
      <w:spacing w:after="0" w:line="240" w:lineRule="exact"/>
      <w:jc w:val="both"/>
    </w:pPr>
    <w:rPr>
      <w:rFonts w:cs="Times New Roman"/>
      <w:w w:val="108"/>
      <w:sz w:val="18"/>
      <w:szCs w:val="18"/>
      <w:lang w:val="en-US"/>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lang w:val="en-US"/>
    </w:rPr>
  </w:style>
  <w:style w:type="character" w:customStyle="1" w:styleId="RSCB02ArticleTextChar">
    <w:name w:val="RSC B02 Article Text Char"/>
    <w:basedOn w:val="Domylnaczcionkaakapitu"/>
    <w:link w:val="RSCB02ArticleText"/>
    <w:rsid w:val="001011D8"/>
    <w:rPr>
      <w:rFonts w:cs="Times New Roman"/>
      <w:w w:val="108"/>
      <w:sz w:val="18"/>
      <w:szCs w:val="18"/>
      <w:lang w:val="en-US"/>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ny"/>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ny"/>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ny"/>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ny"/>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lang w:val="en-US"/>
    </w:rPr>
  </w:style>
  <w:style w:type="paragraph" w:customStyle="1" w:styleId="RSCF02FootnotestoTitleAuthors">
    <w:name w:val="RSC F02 Footnotes to Title/Authors"/>
    <w:basedOn w:val="Normalny"/>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omylnaczcionkaakapitu"/>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Znak"/>
    <w:qFormat/>
    <w:rsid w:val="000A265C"/>
    <w:pPr>
      <w:spacing w:line="200" w:lineRule="exact"/>
    </w:pPr>
    <w:rPr>
      <w:w w:val="105"/>
    </w:rPr>
  </w:style>
  <w:style w:type="character" w:customStyle="1" w:styleId="RSCF02FootnotestoTitleAuthorsChar">
    <w:name w:val="RSC F02 Footnotes to Title/Authors Char"/>
    <w:basedOn w:val="Domylnaczcionkaakapitu"/>
    <w:link w:val="RSCF02FootnotestoTitleAuthors"/>
    <w:rsid w:val="006556AC"/>
    <w:rPr>
      <w:rFonts w:cs="Times New Roman"/>
      <w:w w:val="105"/>
      <w:sz w:val="14"/>
      <w:szCs w:val="14"/>
    </w:rPr>
  </w:style>
  <w:style w:type="paragraph" w:styleId="Bezodstpw">
    <w:name w:val="No Spacing"/>
    <w:uiPriority w:val="1"/>
    <w:rsid w:val="00272D6F"/>
    <w:pPr>
      <w:spacing w:after="0" w:line="240" w:lineRule="auto"/>
    </w:pPr>
  </w:style>
  <w:style w:type="character" w:customStyle="1" w:styleId="RSCR02ReferencesZnak">
    <w:name w:val="RSC R02 References Znak"/>
    <w:basedOn w:val="Domylnaczcionkaakapitu"/>
    <w:link w:val="RSCR02References"/>
    <w:rsid w:val="00CF5F1A"/>
    <w:rPr>
      <w:rFonts w:cs="Times New Roman"/>
      <w:w w:val="105"/>
      <w:sz w:val="18"/>
      <w:szCs w:val="18"/>
    </w:rPr>
  </w:style>
  <w:style w:type="paragraph" w:customStyle="1" w:styleId="RSCB04AHeadingSection">
    <w:name w:val="RSC B04 A Heading (Section)"/>
    <w:basedOn w:val="Normalny"/>
    <w:link w:val="RSCB04AHeadingSectionChar"/>
    <w:qFormat/>
    <w:rsid w:val="00EF6BD4"/>
    <w:pPr>
      <w:spacing w:before="400" w:after="80" w:line="240" w:lineRule="auto"/>
    </w:pPr>
    <w:rPr>
      <w:b/>
      <w:sz w:val="24"/>
    </w:rPr>
  </w:style>
  <w:style w:type="character" w:customStyle="1" w:styleId="RSCH01PaperTitleChar">
    <w:name w:val="RSC H01 Paper Title Char"/>
    <w:basedOn w:val="Domylnaczcionkaakapitu"/>
    <w:link w:val="RSCH01PaperTitle"/>
    <w:rsid w:val="00C32EDF"/>
    <w:rPr>
      <w:rFonts w:cs="Times New Roman"/>
      <w:b/>
      <w:sz w:val="29"/>
      <w:szCs w:val="32"/>
    </w:rPr>
  </w:style>
  <w:style w:type="character" w:customStyle="1" w:styleId="RSCH02PaperAuthorsandBylineChar">
    <w:name w:val="RSC H02 Paper Authors and Byline Char"/>
    <w:basedOn w:val="Domylnaczcionkaakapitu"/>
    <w:link w:val="RSCH02PaperAuthorsandByline"/>
    <w:rsid w:val="001633D9"/>
    <w:rPr>
      <w:rFonts w:cs="Times New Roman"/>
      <w:sz w:val="20"/>
    </w:rPr>
  </w:style>
  <w:style w:type="character" w:customStyle="1" w:styleId="RSCB01ARTAbstractChar">
    <w:name w:val="RSC B01 ART Abstract Char"/>
    <w:basedOn w:val="Domylnaczcionkaakapitu"/>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val="en-US" w:eastAsia="en-GB"/>
    </w:rPr>
  </w:style>
  <w:style w:type="character" w:customStyle="1" w:styleId="RSCB04AHeadingSectionChar">
    <w:name w:val="RSC B04 A Heading (Section) Char"/>
    <w:basedOn w:val="Domylnaczcionkaakapitu"/>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ny"/>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omylnaczcionkaakapitu"/>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omylnaczcionkaakapitu"/>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omylnaczcionkaakapitu"/>
    <w:link w:val="RSCI03FigureSchemeChartUncaptioned"/>
    <w:rsid w:val="006556AC"/>
    <w:rPr>
      <w:rFonts w:cs="Times New Roman"/>
      <w:sz w:val="16"/>
      <w:szCs w:val="16"/>
    </w:rPr>
  </w:style>
  <w:style w:type="character" w:customStyle="1" w:styleId="RSCB03MathematicsGreeketcChar">
    <w:name w:val="RSC B03 Mathematics/Greek etc Char"/>
    <w:basedOn w:val="Domylnaczcionkaakapitu"/>
    <w:link w:val="RSCB03MathematicsGreeketc"/>
    <w:rsid w:val="007A37D8"/>
    <w:rPr>
      <w:rFonts w:ascii="Times New Roman" w:hAnsi="Times New Roman"/>
      <w:sz w:val="18"/>
    </w:rPr>
  </w:style>
  <w:style w:type="paragraph" w:customStyle="1" w:styleId="RSCT03TableBody">
    <w:name w:val="RSC T03 Table Body"/>
    <w:basedOn w:val="Normalny"/>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omylnaczcionkaakapitu"/>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ny"/>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omylnaczcionkaakapitu"/>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omylnaczcionkaakapitu"/>
    <w:link w:val="RSCT04TableFootnotewithbottombar"/>
    <w:rsid w:val="006556AC"/>
    <w:rPr>
      <w:rFonts w:eastAsia="Times New Roman" w:cs="Times New Roman"/>
      <w:sz w:val="15"/>
      <w:szCs w:val="20"/>
      <w:lang w:eastAsia="en-GB"/>
    </w:rPr>
  </w:style>
  <w:style w:type="character" w:styleId="Hipercze">
    <w:name w:val="Hyperlink"/>
    <w:basedOn w:val="Domylnaczcionkaakapitu"/>
    <w:uiPriority w:val="99"/>
    <w:unhideWhenUsed/>
    <w:rsid w:val="005037CD"/>
    <w:rPr>
      <w:color w:val="0000FF" w:themeColor="hyperlink"/>
      <w:u w:val="single"/>
    </w:rPr>
  </w:style>
  <w:style w:type="paragraph" w:styleId="Akapitzlist">
    <w:name w:val="List Paragraph"/>
    <w:basedOn w:val="Normalny"/>
    <w:uiPriority w:val="34"/>
    <w:qFormat/>
    <w:rsid w:val="00F15F90"/>
    <w:pPr>
      <w:ind w:left="720"/>
      <w:contextualSpacing/>
    </w:pPr>
  </w:style>
  <w:style w:type="paragraph" w:styleId="Poprawka">
    <w:name w:val="Revision"/>
    <w:hidden/>
    <w:uiPriority w:val="99"/>
    <w:semiHidden/>
    <w:rsid w:val="000D5891"/>
    <w:pPr>
      <w:spacing w:after="0" w:line="240" w:lineRule="auto"/>
    </w:pPr>
  </w:style>
  <w:style w:type="paragraph" w:styleId="Tekstprzypisudolnego">
    <w:name w:val="footnote text"/>
    <w:basedOn w:val="Normalny"/>
    <w:link w:val="TekstprzypisudolnegoZnak"/>
    <w:uiPriority w:val="99"/>
    <w:semiHidden/>
    <w:unhideWhenUsed/>
    <w:rsid w:val="00CA2740"/>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CA2740"/>
    <w:rPr>
      <w:sz w:val="20"/>
      <w:szCs w:val="20"/>
    </w:rPr>
  </w:style>
  <w:style w:type="character" w:styleId="Odwoanieprzypisudolnego">
    <w:name w:val="footnote reference"/>
    <w:basedOn w:val="Domylnaczcionkaakapitu"/>
    <w:uiPriority w:val="99"/>
    <w:semiHidden/>
    <w:unhideWhenUsed/>
    <w:rsid w:val="00CA2740"/>
    <w:rPr>
      <w:vertAlign w:val="superscript"/>
    </w:rPr>
  </w:style>
  <w:style w:type="paragraph" w:styleId="NormalnyWeb">
    <w:name w:val="Normal (Web)"/>
    <w:basedOn w:val="Normalny"/>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egenda">
    <w:name w:val="caption"/>
    <w:basedOn w:val="Normalny"/>
    <w:next w:val="Normalny"/>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lang w:val="en-US"/>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omylnaczcionkaakapitu"/>
    <w:link w:val="RSCI04CaptiontoFigureSchemeChart"/>
    <w:rsid w:val="006556AC"/>
    <w:rPr>
      <w:bCs/>
      <w:sz w:val="14"/>
      <w:szCs w:val="18"/>
    </w:rPr>
  </w:style>
  <w:style w:type="paragraph" w:customStyle="1" w:styleId="RSCM01ReceivedAccepted">
    <w:name w:val="RSC M01 Received/Accepted"/>
    <w:basedOn w:val="Normalny"/>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ny"/>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omylnaczcionkaakapitu"/>
    <w:link w:val="RSCM01ReceivedAccepted"/>
    <w:rsid w:val="004C531E"/>
    <w:rPr>
      <w:rFonts w:eastAsiaTheme="minorEastAsia"/>
      <w:noProof/>
      <w:sz w:val="14"/>
      <w:szCs w:val="14"/>
      <w:lang w:eastAsia="en-GB"/>
    </w:rPr>
  </w:style>
  <w:style w:type="paragraph" w:customStyle="1" w:styleId="RSCM03Website">
    <w:name w:val="RSC M03 Website"/>
    <w:basedOn w:val="Normalny"/>
    <w:link w:val="RSCM03WebsiteChar"/>
    <w:qFormat/>
    <w:rsid w:val="004C531E"/>
    <w:pPr>
      <w:spacing w:line="400" w:lineRule="exact"/>
    </w:pPr>
    <w:rPr>
      <w:b/>
      <w:sz w:val="14"/>
      <w:szCs w:val="14"/>
    </w:rPr>
  </w:style>
  <w:style w:type="character" w:customStyle="1" w:styleId="RSCM02DOIChar">
    <w:name w:val="RSC M02 DOI Char"/>
    <w:basedOn w:val="Domylnaczcionkaakapitu"/>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omylnaczcionkaakapitu"/>
    <w:link w:val="RSCM03Website"/>
    <w:rsid w:val="004C531E"/>
    <w:rPr>
      <w:b/>
      <w:sz w:val="14"/>
      <w:szCs w:val="14"/>
    </w:rPr>
  </w:style>
  <w:style w:type="paragraph" w:customStyle="1" w:styleId="RSCB06BHeadingSub-Section">
    <w:name w:val="RSC B06 B Heading (Sub-Section)"/>
    <w:link w:val="RSCB06BHeadingSub-SectionChar"/>
    <w:qFormat/>
    <w:rsid w:val="001011D8"/>
    <w:pPr>
      <w:spacing w:before="120"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omylnaczcionkaakapitu"/>
    <w:link w:val="RSCB06BHeadingSub-Section"/>
    <w:rsid w:val="001011D8"/>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omylnaczcionkaakapitu"/>
    <w:link w:val="RSCB07BHeadingSub-Section-standalone"/>
    <w:rsid w:val="00EF6BD4"/>
    <w:rPr>
      <w:b/>
      <w:sz w:val="18"/>
    </w:rPr>
  </w:style>
  <w:style w:type="character" w:customStyle="1" w:styleId="RSCB08CHeadingIn-lineChar">
    <w:name w:val="RSC B08 C Heading (In-line) Char"/>
    <w:basedOn w:val="Domylnaczcionkaakapitu"/>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ny"/>
    <w:next w:val="Normalny"/>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ny"/>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UyteHipercze">
    <w:name w:val="FollowedHyperlink"/>
    <w:basedOn w:val="Domylnaczcionkaakapitu"/>
    <w:uiPriority w:val="99"/>
    <w:semiHidden/>
    <w:unhideWhenUsed/>
    <w:rsid w:val="0024022C"/>
    <w:rPr>
      <w:color w:val="800080" w:themeColor="followedHyperlink"/>
      <w:u w:val="single"/>
    </w:rPr>
  </w:style>
  <w:style w:type="character" w:styleId="Odwoaniedokomentarza">
    <w:name w:val="annotation reference"/>
    <w:basedOn w:val="Domylnaczcionkaakapitu"/>
    <w:uiPriority w:val="99"/>
    <w:semiHidden/>
    <w:unhideWhenUsed/>
    <w:rsid w:val="0060627E"/>
    <w:rPr>
      <w:sz w:val="16"/>
      <w:szCs w:val="16"/>
    </w:rPr>
  </w:style>
  <w:style w:type="paragraph" w:styleId="Tekstkomentarza">
    <w:name w:val="annotation text"/>
    <w:basedOn w:val="Normalny"/>
    <w:link w:val="TekstkomentarzaZnak"/>
    <w:uiPriority w:val="99"/>
    <w:unhideWhenUsed/>
    <w:rsid w:val="0060627E"/>
    <w:pPr>
      <w:spacing w:line="240" w:lineRule="auto"/>
    </w:pPr>
    <w:rPr>
      <w:sz w:val="20"/>
      <w:szCs w:val="20"/>
    </w:rPr>
  </w:style>
  <w:style w:type="character" w:customStyle="1" w:styleId="TekstkomentarzaZnak">
    <w:name w:val="Tekst komentarza Znak"/>
    <w:basedOn w:val="Domylnaczcionkaakapitu"/>
    <w:link w:val="Tekstkomentarza"/>
    <w:uiPriority w:val="99"/>
    <w:rsid w:val="0060627E"/>
    <w:rPr>
      <w:sz w:val="20"/>
      <w:szCs w:val="20"/>
    </w:rPr>
  </w:style>
  <w:style w:type="paragraph" w:styleId="Tematkomentarza">
    <w:name w:val="annotation subject"/>
    <w:basedOn w:val="Tekstkomentarza"/>
    <w:next w:val="Tekstkomentarza"/>
    <w:link w:val="TematkomentarzaZnak"/>
    <w:uiPriority w:val="99"/>
    <w:semiHidden/>
    <w:unhideWhenUsed/>
    <w:rsid w:val="0060627E"/>
    <w:rPr>
      <w:b/>
      <w:bCs/>
    </w:rPr>
  </w:style>
  <w:style w:type="character" w:customStyle="1" w:styleId="TematkomentarzaZnak">
    <w:name w:val="Temat komentarza Znak"/>
    <w:basedOn w:val="TekstkomentarzaZnak"/>
    <w:link w:val="Tematkomentarza"/>
    <w:uiPriority w:val="99"/>
    <w:semiHidden/>
    <w:rsid w:val="0060627E"/>
    <w:rPr>
      <w:b/>
      <w:bCs/>
      <w:sz w:val="20"/>
      <w:szCs w:val="20"/>
    </w:rPr>
  </w:style>
  <w:style w:type="paragraph" w:customStyle="1" w:styleId="BCAuthorAddress">
    <w:name w:val="BC_Author_Address"/>
    <w:basedOn w:val="Normalny"/>
    <w:next w:val="Normalny"/>
    <w:rsid w:val="002324FA"/>
    <w:pPr>
      <w:spacing w:after="240" w:line="480" w:lineRule="auto"/>
      <w:jc w:val="center"/>
    </w:pPr>
    <w:rPr>
      <w:rFonts w:ascii="Times" w:eastAsia="Times New Roman" w:hAnsi="Times" w:cs="Times New Roman"/>
      <w:sz w:val="24"/>
      <w:szCs w:val="20"/>
      <w:lang w:val="en-US"/>
    </w:rPr>
  </w:style>
  <w:style w:type="character" w:styleId="Nierozpoznanawzmianka">
    <w:name w:val="Unresolved Mention"/>
    <w:basedOn w:val="Domylnaczcionkaakapitu"/>
    <w:uiPriority w:val="99"/>
    <w:semiHidden/>
    <w:unhideWhenUsed/>
    <w:rsid w:val="00474433"/>
    <w:rPr>
      <w:color w:val="605E5C"/>
      <w:shd w:val="clear" w:color="auto" w:fill="E1DFDD"/>
    </w:rPr>
  </w:style>
  <w:style w:type="paragraph" w:customStyle="1" w:styleId="TableCaption">
    <w:name w:val="TableCaption"/>
    <w:basedOn w:val="Normalny"/>
    <w:qFormat/>
    <w:rsid w:val="000F6CC5"/>
    <w:pPr>
      <w:pBdr>
        <w:top w:val="single" w:sz="4" w:space="4" w:color="DDDDDD"/>
        <w:left w:val="single" w:sz="4" w:space="4" w:color="DDDDDD"/>
        <w:bottom w:val="single" w:sz="4" w:space="4" w:color="DDDDDD"/>
        <w:right w:val="single" w:sz="4" w:space="4" w:color="DDDDDD"/>
      </w:pBdr>
      <w:spacing w:after="0" w:line="180" w:lineRule="exact"/>
      <w:jc w:val="both"/>
    </w:pPr>
    <w:rPr>
      <w:rFonts w:ascii="Arial" w:eastAsia="MS Mincho" w:hAnsi="Arial" w:cs="Times New Roman"/>
      <w:sz w:val="14"/>
      <w:szCs w:val="14"/>
      <w:lang w:eastAsia="ja-JP"/>
    </w:rPr>
  </w:style>
  <w:style w:type="paragraph" w:customStyle="1" w:styleId="TableHead">
    <w:name w:val="TableHead"/>
    <w:basedOn w:val="TableCaption"/>
    <w:rsid w:val="000F6CC5"/>
    <w:pPr>
      <w:pBdr>
        <w:top w:val="single" w:sz="4" w:space="4" w:color="FFFFFF"/>
        <w:left w:val="single" w:sz="4" w:space="4" w:color="FFFFFF"/>
        <w:bottom w:val="single" w:sz="4" w:space="4" w:color="FFFFFF"/>
        <w:right w:val="single" w:sz="4" w:space="4" w:color="FFFFFF"/>
      </w:pBdr>
    </w:pPr>
  </w:style>
  <w:style w:type="paragraph" w:customStyle="1" w:styleId="TableBody">
    <w:name w:val="TableBody"/>
    <w:basedOn w:val="TableHead"/>
    <w:rsid w:val="000F6CC5"/>
  </w:style>
  <w:style w:type="paragraph" w:customStyle="1" w:styleId="P1">
    <w:name w:val="P1"/>
    <w:basedOn w:val="Normalny"/>
    <w:rsid w:val="000F6CC5"/>
    <w:pPr>
      <w:spacing w:after="0" w:line="225" w:lineRule="exact"/>
      <w:jc w:val="both"/>
    </w:pPr>
    <w:rPr>
      <w:rFonts w:ascii="Arial" w:eastAsia="MS Mincho" w:hAnsi="Arial" w:cs="Times New Roman"/>
      <w:sz w:val="17"/>
      <w:szCs w:val="24"/>
      <w:lang w:val="en-US" w:eastAsia="ja-JP"/>
    </w:rPr>
  </w:style>
  <w:style w:type="paragraph" w:customStyle="1" w:styleId="TAMainText">
    <w:name w:val="TA_Main_Text"/>
    <w:basedOn w:val="Normalny"/>
    <w:rsid w:val="00D5609C"/>
    <w:pPr>
      <w:spacing w:after="0" w:line="480" w:lineRule="auto"/>
      <w:ind w:firstLine="202"/>
      <w:jc w:val="both"/>
    </w:pPr>
    <w:rPr>
      <w:rFonts w:ascii="Times" w:eastAsia="Times New Roman" w:hAnsi="Times" w:cs="Times New Roman"/>
      <w:sz w:val="24"/>
      <w:szCs w:val="20"/>
      <w:lang w:val="en-US"/>
    </w:rPr>
  </w:style>
  <w:style w:type="paragraph" w:customStyle="1" w:styleId="VAFigureCaption">
    <w:name w:val="VA_Figure_Caption"/>
    <w:basedOn w:val="Normalny"/>
    <w:next w:val="Normalny"/>
    <w:rsid w:val="00D5609C"/>
    <w:pPr>
      <w:spacing w:line="480" w:lineRule="auto"/>
      <w:jc w:val="both"/>
    </w:pPr>
    <w:rPr>
      <w:rFonts w:ascii="Times" w:eastAsia="Times New Roman" w:hAnsi="Times" w:cs="Times New Roman"/>
      <w:sz w:val="24"/>
      <w:szCs w:val="20"/>
      <w:lang w:val="en-US"/>
    </w:rPr>
  </w:style>
  <w:style w:type="paragraph" w:customStyle="1" w:styleId="VCSchemeTitle">
    <w:name w:val="VC_Scheme_Title"/>
    <w:basedOn w:val="Normalny"/>
    <w:next w:val="Normalny"/>
    <w:rsid w:val="00B2193E"/>
    <w:pPr>
      <w:spacing w:line="480" w:lineRule="auto"/>
      <w:jc w:val="both"/>
    </w:pPr>
    <w:rPr>
      <w:rFonts w:ascii="Times" w:eastAsia="Times New Roman" w:hAnsi="Times" w:cs="Times New Roman"/>
      <w:sz w:val="24"/>
      <w:szCs w:val="20"/>
      <w:lang w:val="en-US"/>
    </w:rPr>
  </w:style>
  <w:style w:type="paragraph" w:customStyle="1" w:styleId="TableFoot">
    <w:name w:val="TableFoot"/>
    <w:basedOn w:val="TableBody"/>
    <w:rsid w:val="00DB1E9A"/>
    <w:pPr>
      <w:spacing w:before="60" w:after="60"/>
    </w:pPr>
  </w:style>
  <w:style w:type="table" w:customStyle="1" w:styleId="Zwykatabela41">
    <w:name w:val="Zwykła tabela 41"/>
    <w:basedOn w:val="Standardowy"/>
    <w:next w:val="Zwykatabela4"/>
    <w:uiPriority w:val="44"/>
    <w:rsid w:val="00DB1E9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Zwykatabela4">
    <w:name w:val="Plain Table 4"/>
    <w:basedOn w:val="Standardowy"/>
    <w:uiPriority w:val="44"/>
    <w:rsid w:val="00DB1E9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VDTableTitle">
    <w:name w:val="VD_Table_Title"/>
    <w:basedOn w:val="Normalny"/>
    <w:next w:val="Normalny"/>
    <w:rsid w:val="00E16CD2"/>
    <w:pPr>
      <w:spacing w:line="480" w:lineRule="auto"/>
      <w:jc w:val="both"/>
    </w:pPr>
    <w:rPr>
      <w:rFonts w:ascii="Times" w:eastAsia="Times New Roman" w:hAnsi="Times" w:cs="Times New Roman"/>
      <w:sz w:val="24"/>
      <w:szCs w:val="20"/>
      <w:lang w:val="en-US"/>
    </w:rPr>
  </w:style>
  <w:style w:type="paragraph" w:customStyle="1" w:styleId="FETableFootnote">
    <w:name w:val="FE_Table_Footnote"/>
    <w:basedOn w:val="Normalny"/>
    <w:next w:val="Normalny"/>
    <w:rsid w:val="00E16CD2"/>
    <w:pPr>
      <w:spacing w:line="240" w:lineRule="auto"/>
      <w:ind w:firstLine="187"/>
      <w:jc w:val="both"/>
    </w:pPr>
    <w:rPr>
      <w:rFonts w:ascii="Times" w:eastAsia="Times New Roman" w:hAnsi="Times" w:cs="Times New Roman"/>
      <w:sz w:val="24"/>
      <w:szCs w:val="20"/>
      <w:lang w:val="en-US"/>
    </w:rPr>
  </w:style>
  <w:style w:type="paragraph" w:customStyle="1" w:styleId="TCTableBody">
    <w:name w:val="TC_Table_Body"/>
    <w:basedOn w:val="Normalny"/>
    <w:rsid w:val="00E16CD2"/>
    <w:pPr>
      <w:spacing w:line="240" w:lineRule="auto"/>
      <w:contextualSpacing/>
      <w:jc w:val="both"/>
    </w:pPr>
    <w:rPr>
      <w:rFonts w:ascii="Times" w:eastAsia="Times New Roman" w:hAnsi="Times" w:cs="Times New Roman"/>
      <w:sz w:val="24"/>
      <w:szCs w:val="20"/>
      <w:lang w:val="en-US"/>
    </w:rPr>
  </w:style>
  <w:style w:type="paragraph" w:customStyle="1" w:styleId="TDAcknowledgments">
    <w:name w:val="TD_Acknowledgments"/>
    <w:basedOn w:val="Normalny"/>
    <w:next w:val="Normalny"/>
    <w:rsid w:val="00E513B5"/>
    <w:pPr>
      <w:spacing w:before="200" w:line="480" w:lineRule="auto"/>
      <w:ind w:firstLine="202"/>
      <w:jc w:val="both"/>
    </w:pPr>
    <w:rPr>
      <w:rFonts w:ascii="Times" w:eastAsia="Times New Roman" w:hAnsi="Times" w:cs="Times New Roman"/>
      <w:sz w:val="24"/>
      <w:szCs w:val="20"/>
      <w:lang w:val="en-US"/>
    </w:rPr>
  </w:style>
  <w:style w:type="paragraph" w:customStyle="1" w:styleId="TFReferencesSection">
    <w:name w:val="TF_References_Section"/>
    <w:basedOn w:val="Normalny"/>
    <w:rsid w:val="00B720A8"/>
    <w:pPr>
      <w:spacing w:line="480" w:lineRule="auto"/>
      <w:ind w:firstLine="187"/>
      <w:jc w:val="both"/>
    </w:pPr>
    <w:rPr>
      <w:rFonts w:ascii="Times" w:eastAsia="Times New Roman" w:hAnsi="Times" w:cs="Times New Roman"/>
      <w:sz w:val="24"/>
      <w:szCs w:val="20"/>
      <w:lang w:val="en-US"/>
    </w:rPr>
  </w:style>
  <w:style w:type="character" w:customStyle="1" w:styleId="Nagwek2Znak">
    <w:name w:val="Nagłówek 2 Znak"/>
    <w:basedOn w:val="Domylnaczcionkaakapitu"/>
    <w:link w:val="Nagwek2"/>
    <w:uiPriority w:val="9"/>
    <w:semiHidden/>
    <w:rsid w:val="00500B38"/>
    <w:rPr>
      <w:rFonts w:asciiTheme="majorHAnsi" w:eastAsiaTheme="majorEastAsia" w:hAnsiTheme="majorHAnsi" w:cstheme="majorBidi"/>
      <w:color w:val="365F91" w:themeColor="accent1" w:themeShade="BF"/>
      <w:sz w:val="26"/>
      <w:szCs w:val="26"/>
    </w:rPr>
  </w:style>
  <w:style w:type="character" w:customStyle="1" w:styleId="Nagwek1Znak">
    <w:name w:val="Nagłówek 1 Znak"/>
    <w:basedOn w:val="Domylnaczcionkaakapitu"/>
    <w:link w:val="Nagwek1"/>
    <w:uiPriority w:val="9"/>
    <w:rsid w:val="00FA2DEF"/>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19878083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258409054">
      <w:bodyDiv w:val="1"/>
      <w:marLeft w:val="0"/>
      <w:marRight w:val="0"/>
      <w:marTop w:val="0"/>
      <w:marBottom w:val="0"/>
      <w:divBdr>
        <w:top w:val="none" w:sz="0" w:space="0" w:color="auto"/>
        <w:left w:val="none" w:sz="0" w:space="0" w:color="auto"/>
        <w:bottom w:val="none" w:sz="0" w:space="0" w:color="auto"/>
        <w:right w:val="none" w:sz="0" w:space="0" w:color="auto"/>
      </w:divBdr>
    </w:div>
    <w:div w:id="265887728">
      <w:bodyDiv w:val="1"/>
      <w:marLeft w:val="0"/>
      <w:marRight w:val="0"/>
      <w:marTop w:val="0"/>
      <w:marBottom w:val="0"/>
      <w:divBdr>
        <w:top w:val="none" w:sz="0" w:space="0" w:color="auto"/>
        <w:left w:val="none" w:sz="0" w:space="0" w:color="auto"/>
        <w:bottom w:val="none" w:sz="0" w:space="0" w:color="auto"/>
        <w:right w:val="none" w:sz="0" w:space="0" w:color="auto"/>
      </w:divBdr>
    </w:div>
    <w:div w:id="296224762">
      <w:bodyDiv w:val="1"/>
      <w:marLeft w:val="0"/>
      <w:marRight w:val="0"/>
      <w:marTop w:val="0"/>
      <w:marBottom w:val="0"/>
      <w:divBdr>
        <w:top w:val="none" w:sz="0" w:space="0" w:color="auto"/>
        <w:left w:val="none" w:sz="0" w:space="0" w:color="auto"/>
        <w:bottom w:val="none" w:sz="0" w:space="0" w:color="auto"/>
        <w:right w:val="none" w:sz="0" w:space="0" w:color="auto"/>
      </w:divBdr>
    </w:div>
    <w:div w:id="305818006">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59363103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669992693">
      <w:bodyDiv w:val="1"/>
      <w:marLeft w:val="0"/>
      <w:marRight w:val="0"/>
      <w:marTop w:val="0"/>
      <w:marBottom w:val="0"/>
      <w:divBdr>
        <w:top w:val="none" w:sz="0" w:space="0" w:color="auto"/>
        <w:left w:val="none" w:sz="0" w:space="0" w:color="auto"/>
        <w:bottom w:val="none" w:sz="0" w:space="0" w:color="auto"/>
        <w:right w:val="none" w:sz="0" w:space="0" w:color="auto"/>
      </w:divBdr>
    </w:div>
    <w:div w:id="701130542">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78508294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32994755">
      <w:bodyDiv w:val="1"/>
      <w:marLeft w:val="0"/>
      <w:marRight w:val="0"/>
      <w:marTop w:val="0"/>
      <w:marBottom w:val="0"/>
      <w:divBdr>
        <w:top w:val="none" w:sz="0" w:space="0" w:color="auto"/>
        <w:left w:val="none" w:sz="0" w:space="0" w:color="auto"/>
        <w:bottom w:val="none" w:sz="0" w:space="0" w:color="auto"/>
        <w:right w:val="none" w:sz="0" w:space="0" w:color="auto"/>
      </w:divBdr>
    </w:div>
    <w:div w:id="1046872445">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061834016">
      <w:bodyDiv w:val="1"/>
      <w:marLeft w:val="0"/>
      <w:marRight w:val="0"/>
      <w:marTop w:val="0"/>
      <w:marBottom w:val="0"/>
      <w:divBdr>
        <w:top w:val="none" w:sz="0" w:space="0" w:color="auto"/>
        <w:left w:val="none" w:sz="0" w:space="0" w:color="auto"/>
        <w:bottom w:val="none" w:sz="0" w:space="0" w:color="auto"/>
        <w:right w:val="none" w:sz="0" w:space="0" w:color="auto"/>
      </w:divBdr>
    </w:div>
    <w:div w:id="1156340649">
      <w:bodyDiv w:val="1"/>
      <w:marLeft w:val="0"/>
      <w:marRight w:val="0"/>
      <w:marTop w:val="0"/>
      <w:marBottom w:val="0"/>
      <w:divBdr>
        <w:top w:val="none" w:sz="0" w:space="0" w:color="auto"/>
        <w:left w:val="none" w:sz="0" w:space="0" w:color="auto"/>
        <w:bottom w:val="none" w:sz="0" w:space="0" w:color="auto"/>
        <w:right w:val="none" w:sz="0" w:space="0" w:color="auto"/>
      </w:divBdr>
    </w:div>
    <w:div w:id="1186405736">
      <w:bodyDiv w:val="1"/>
      <w:marLeft w:val="0"/>
      <w:marRight w:val="0"/>
      <w:marTop w:val="0"/>
      <w:marBottom w:val="0"/>
      <w:divBdr>
        <w:top w:val="none" w:sz="0" w:space="0" w:color="auto"/>
        <w:left w:val="none" w:sz="0" w:space="0" w:color="auto"/>
        <w:bottom w:val="none" w:sz="0" w:space="0" w:color="auto"/>
        <w:right w:val="none" w:sz="0" w:space="0" w:color="auto"/>
      </w:divBdr>
    </w:div>
    <w:div w:id="1205293014">
      <w:bodyDiv w:val="1"/>
      <w:marLeft w:val="0"/>
      <w:marRight w:val="0"/>
      <w:marTop w:val="0"/>
      <w:marBottom w:val="0"/>
      <w:divBdr>
        <w:top w:val="none" w:sz="0" w:space="0" w:color="auto"/>
        <w:left w:val="none" w:sz="0" w:space="0" w:color="auto"/>
        <w:bottom w:val="none" w:sz="0" w:space="0" w:color="auto"/>
        <w:right w:val="none" w:sz="0" w:space="0" w:color="auto"/>
      </w:divBdr>
    </w:div>
    <w:div w:id="1234199537">
      <w:bodyDiv w:val="1"/>
      <w:marLeft w:val="0"/>
      <w:marRight w:val="0"/>
      <w:marTop w:val="0"/>
      <w:marBottom w:val="0"/>
      <w:divBdr>
        <w:top w:val="none" w:sz="0" w:space="0" w:color="auto"/>
        <w:left w:val="none" w:sz="0" w:space="0" w:color="auto"/>
        <w:bottom w:val="none" w:sz="0" w:space="0" w:color="auto"/>
        <w:right w:val="none" w:sz="0" w:space="0" w:color="auto"/>
      </w:divBdr>
    </w:div>
    <w:div w:id="1310286459">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398433597">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50857712">
      <w:bodyDiv w:val="1"/>
      <w:marLeft w:val="0"/>
      <w:marRight w:val="0"/>
      <w:marTop w:val="0"/>
      <w:marBottom w:val="0"/>
      <w:divBdr>
        <w:top w:val="none" w:sz="0" w:space="0" w:color="auto"/>
        <w:left w:val="none" w:sz="0" w:space="0" w:color="auto"/>
        <w:bottom w:val="none" w:sz="0" w:space="0" w:color="auto"/>
        <w:right w:val="none" w:sz="0" w:space="0" w:color="auto"/>
      </w:divBdr>
    </w:div>
    <w:div w:id="1504710352">
      <w:bodyDiv w:val="1"/>
      <w:marLeft w:val="0"/>
      <w:marRight w:val="0"/>
      <w:marTop w:val="0"/>
      <w:marBottom w:val="0"/>
      <w:divBdr>
        <w:top w:val="none" w:sz="0" w:space="0" w:color="auto"/>
        <w:left w:val="none" w:sz="0" w:space="0" w:color="auto"/>
        <w:bottom w:val="none" w:sz="0" w:space="0" w:color="auto"/>
        <w:right w:val="none" w:sz="0" w:space="0" w:color="auto"/>
      </w:divBdr>
    </w:div>
    <w:div w:id="1534733572">
      <w:bodyDiv w:val="1"/>
      <w:marLeft w:val="0"/>
      <w:marRight w:val="0"/>
      <w:marTop w:val="0"/>
      <w:marBottom w:val="0"/>
      <w:divBdr>
        <w:top w:val="none" w:sz="0" w:space="0" w:color="auto"/>
        <w:left w:val="none" w:sz="0" w:space="0" w:color="auto"/>
        <w:bottom w:val="none" w:sz="0" w:space="0" w:color="auto"/>
        <w:right w:val="none" w:sz="0" w:space="0" w:color="auto"/>
      </w:divBdr>
    </w:div>
    <w:div w:id="1542479440">
      <w:bodyDiv w:val="1"/>
      <w:marLeft w:val="0"/>
      <w:marRight w:val="0"/>
      <w:marTop w:val="0"/>
      <w:marBottom w:val="0"/>
      <w:divBdr>
        <w:top w:val="none" w:sz="0" w:space="0" w:color="auto"/>
        <w:left w:val="none" w:sz="0" w:space="0" w:color="auto"/>
        <w:bottom w:val="none" w:sz="0" w:space="0" w:color="auto"/>
        <w:right w:val="none" w:sz="0" w:space="0" w:color="auto"/>
      </w:divBdr>
    </w:div>
    <w:div w:id="159450899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13434044">
      <w:bodyDiv w:val="1"/>
      <w:marLeft w:val="0"/>
      <w:marRight w:val="0"/>
      <w:marTop w:val="0"/>
      <w:marBottom w:val="0"/>
      <w:divBdr>
        <w:top w:val="none" w:sz="0" w:space="0" w:color="auto"/>
        <w:left w:val="none" w:sz="0" w:space="0" w:color="auto"/>
        <w:bottom w:val="none" w:sz="0" w:space="0" w:color="auto"/>
        <w:right w:val="none" w:sz="0" w:space="0" w:color="auto"/>
      </w:divBdr>
    </w:div>
    <w:div w:id="1631981787">
      <w:bodyDiv w:val="1"/>
      <w:marLeft w:val="0"/>
      <w:marRight w:val="0"/>
      <w:marTop w:val="0"/>
      <w:marBottom w:val="0"/>
      <w:divBdr>
        <w:top w:val="none" w:sz="0" w:space="0" w:color="auto"/>
        <w:left w:val="none" w:sz="0" w:space="0" w:color="auto"/>
        <w:bottom w:val="none" w:sz="0" w:space="0" w:color="auto"/>
        <w:right w:val="none" w:sz="0" w:space="0" w:color="auto"/>
      </w:divBdr>
    </w:div>
    <w:div w:id="1633242866">
      <w:bodyDiv w:val="1"/>
      <w:marLeft w:val="0"/>
      <w:marRight w:val="0"/>
      <w:marTop w:val="0"/>
      <w:marBottom w:val="0"/>
      <w:divBdr>
        <w:top w:val="none" w:sz="0" w:space="0" w:color="auto"/>
        <w:left w:val="none" w:sz="0" w:space="0" w:color="auto"/>
        <w:bottom w:val="none" w:sz="0" w:space="0" w:color="auto"/>
        <w:right w:val="none" w:sz="0" w:space="0" w:color="auto"/>
      </w:divBdr>
    </w:div>
    <w:div w:id="1706295462">
      <w:bodyDiv w:val="1"/>
      <w:marLeft w:val="0"/>
      <w:marRight w:val="0"/>
      <w:marTop w:val="0"/>
      <w:marBottom w:val="0"/>
      <w:divBdr>
        <w:top w:val="none" w:sz="0" w:space="0" w:color="auto"/>
        <w:left w:val="none" w:sz="0" w:space="0" w:color="auto"/>
        <w:bottom w:val="none" w:sz="0" w:space="0" w:color="auto"/>
        <w:right w:val="none" w:sz="0" w:space="0" w:color="auto"/>
      </w:divBdr>
    </w:div>
    <w:div w:id="1718966329">
      <w:bodyDiv w:val="1"/>
      <w:marLeft w:val="0"/>
      <w:marRight w:val="0"/>
      <w:marTop w:val="0"/>
      <w:marBottom w:val="0"/>
      <w:divBdr>
        <w:top w:val="none" w:sz="0" w:space="0" w:color="auto"/>
        <w:left w:val="none" w:sz="0" w:space="0" w:color="auto"/>
        <w:bottom w:val="none" w:sz="0" w:space="0" w:color="auto"/>
        <w:right w:val="none" w:sz="0" w:space="0" w:color="auto"/>
      </w:divBdr>
    </w:div>
    <w:div w:id="1727682382">
      <w:bodyDiv w:val="1"/>
      <w:marLeft w:val="0"/>
      <w:marRight w:val="0"/>
      <w:marTop w:val="0"/>
      <w:marBottom w:val="0"/>
      <w:divBdr>
        <w:top w:val="none" w:sz="0" w:space="0" w:color="auto"/>
        <w:left w:val="none" w:sz="0" w:space="0" w:color="auto"/>
        <w:bottom w:val="none" w:sz="0" w:space="0" w:color="auto"/>
        <w:right w:val="none" w:sz="0" w:space="0" w:color="auto"/>
      </w:divBdr>
    </w:div>
    <w:div w:id="1731726210">
      <w:bodyDiv w:val="1"/>
      <w:marLeft w:val="0"/>
      <w:marRight w:val="0"/>
      <w:marTop w:val="0"/>
      <w:marBottom w:val="0"/>
      <w:divBdr>
        <w:top w:val="none" w:sz="0" w:space="0" w:color="auto"/>
        <w:left w:val="none" w:sz="0" w:space="0" w:color="auto"/>
        <w:bottom w:val="none" w:sz="0" w:space="0" w:color="auto"/>
        <w:right w:val="none" w:sz="0" w:space="0" w:color="auto"/>
      </w:divBdr>
    </w:div>
    <w:div w:id="1789742128">
      <w:bodyDiv w:val="1"/>
      <w:marLeft w:val="0"/>
      <w:marRight w:val="0"/>
      <w:marTop w:val="0"/>
      <w:marBottom w:val="0"/>
      <w:divBdr>
        <w:top w:val="none" w:sz="0" w:space="0" w:color="auto"/>
        <w:left w:val="none" w:sz="0" w:space="0" w:color="auto"/>
        <w:bottom w:val="none" w:sz="0" w:space="0" w:color="auto"/>
        <w:right w:val="none" w:sz="0" w:space="0" w:color="auto"/>
      </w:divBdr>
    </w:div>
    <w:div w:id="1836453871">
      <w:bodyDiv w:val="1"/>
      <w:marLeft w:val="0"/>
      <w:marRight w:val="0"/>
      <w:marTop w:val="0"/>
      <w:marBottom w:val="0"/>
      <w:divBdr>
        <w:top w:val="none" w:sz="0" w:space="0" w:color="auto"/>
        <w:left w:val="none" w:sz="0" w:space="0" w:color="auto"/>
        <w:bottom w:val="none" w:sz="0" w:space="0" w:color="auto"/>
        <w:right w:val="none" w:sz="0" w:space="0" w:color="auto"/>
      </w:divBdr>
    </w:div>
    <w:div w:id="1925603365">
      <w:bodyDiv w:val="1"/>
      <w:marLeft w:val="0"/>
      <w:marRight w:val="0"/>
      <w:marTop w:val="0"/>
      <w:marBottom w:val="0"/>
      <w:divBdr>
        <w:top w:val="none" w:sz="0" w:space="0" w:color="auto"/>
        <w:left w:val="none" w:sz="0" w:space="0" w:color="auto"/>
        <w:bottom w:val="none" w:sz="0" w:space="0" w:color="auto"/>
        <w:right w:val="none" w:sz="0" w:space="0" w:color="auto"/>
      </w:divBdr>
    </w:div>
    <w:div w:id="2059894067">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tiff"/><Relationship Id="rId26" Type="http://schemas.openxmlformats.org/officeDocument/2006/relationships/image" Target="media/image13.tiff"/><Relationship Id="rId3" Type="http://schemas.openxmlformats.org/officeDocument/2006/relationships/styles" Target="styles.xml"/><Relationship Id="rId21" Type="http://schemas.openxmlformats.org/officeDocument/2006/relationships/image" Target="media/image8.tif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tiff"/><Relationship Id="rId25" Type="http://schemas.openxmlformats.org/officeDocument/2006/relationships/image" Target="media/image12.tif"/><Relationship Id="rId2" Type="http://schemas.openxmlformats.org/officeDocument/2006/relationships/numbering" Target="numbering.xml"/><Relationship Id="rId16" Type="http://schemas.openxmlformats.org/officeDocument/2006/relationships/image" Target="media/image3.tiff"/><Relationship Id="rId20" Type="http://schemas.openxmlformats.org/officeDocument/2006/relationships/image" Target="media/image7.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tif"/><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tif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37573</Words>
  <Characters>214171</Characters>
  <Application>Microsoft Office Word</Application>
  <DocSecurity>0</DocSecurity>
  <Lines>1784</Lines>
  <Paragraphs>502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The Royal Society of Chemistry</Company>
  <LinksUpToDate>false</LinksUpToDate>
  <CharactersWithSpaces>251242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Justyna Więcławik</cp:lastModifiedBy>
  <cp:revision>2</cp:revision>
  <cp:lastPrinted>2014-10-09T15:34:00Z</cp:lastPrinted>
  <dcterms:created xsi:type="dcterms:W3CDTF">2024-11-06T00:28:00Z</dcterms:created>
  <dcterms:modified xsi:type="dcterms:W3CDTF">2024-11-06T00:28:00Z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37c9210b-f3a5-31cd-88c1-2a15906df5d5</vt:lpwstr>
  </property>
  <property fmtid="{D5CDD505-2E9C-101B-9397-08002B2CF9AE}" pid="4" name="Mendeley Citation Style_1">
    <vt:lpwstr>http://www.zotero.org/styles/royal-society-of-chemistry</vt:lpwstr>
  </property>
  <property fmtid="{D5CDD505-2E9C-101B-9397-08002B2CF9AE}" pid="5" name="Mendeley Recent Style Id 0_1">
    <vt:lpwstr>http://csl.mendeley.com/styles/572510391/american-chemical-society-dok-JW-2</vt:lpwstr>
  </property>
  <property fmtid="{D5CDD505-2E9C-101B-9397-08002B2CF9AE}" pid="6" name="Mendeley Recent Style Name 0_1">
    <vt:lpwstr>ACS - Dok - JW</vt:lpwstr>
  </property>
  <property fmtid="{D5CDD505-2E9C-101B-9397-08002B2CF9AE}" pid="7" name="Mendeley Recent Style Id 1_1">
    <vt:lpwstr>http://www.zotero.org/styles/acs-catalysis</vt:lpwstr>
  </property>
  <property fmtid="{D5CDD505-2E9C-101B-9397-08002B2CF9AE}" pid="8" name="Mendeley Recent Style Name 1_1">
    <vt:lpwstr>ACS Catalysis</vt:lpwstr>
  </property>
  <property fmtid="{D5CDD505-2E9C-101B-9397-08002B2CF9AE}" pid="9" name="Mendeley Recent Style Id 2_1">
    <vt:lpwstr>http://csl.mendeley.com/styles/572510391/Doktorat-JW-ACS</vt:lpwstr>
  </property>
  <property fmtid="{D5CDD505-2E9C-101B-9397-08002B2CF9AE}" pid="10" name="Mendeley Recent Style Name 2_1">
    <vt:lpwstr>American Chemical Society - Justyna Więcławik</vt:lpwstr>
  </property>
  <property fmtid="{D5CDD505-2E9C-101B-9397-08002B2CF9AE}" pid="11" name="Mendeley Recent Style Id 3_1">
    <vt:lpwstr>http://www.zotero.org/styles/american-medical-association</vt:lpwstr>
  </property>
  <property fmtid="{D5CDD505-2E9C-101B-9397-08002B2CF9AE}" pid="12" name="Mendeley Recent Style Name 3_1">
    <vt:lpwstr>American Medical Association</vt:lpwstr>
  </property>
  <property fmtid="{D5CDD505-2E9C-101B-9397-08002B2CF9AE}" pid="13" name="Mendeley Recent Style Id 4_1">
    <vt:lpwstr>http://www.zotero.org/styles/apa</vt:lpwstr>
  </property>
  <property fmtid="{D5CDD505-2E9C-101B-9397-08002B2CF9AE}" pid="14" name="Mendeley Recent Style Name 4_1">
    <vt:lpwstr>American Psychological Association 6th edition</vt:lpwstr>
  </property>
  <property fmtid="{D5CDD505-2E9C-101B-9397-08002B2CF9AE}" pid="15" name="Mendeley Recent Style Id 5_1">
    <vt:lpwstr>http://www.zotero.org/styles/catalysis-science-and-technology</vt:lpwstr>
  </property>
  <property fmtid="{D5CDD505-2E9C-101B-9397-08002B2CF9AE}" pid="16" name="Mendeley Recent Style Name 5_1">
    <vt:lpwstr>Catalysis Science &amp; Technology</vt:lpwstr>
  </property>
  <property fmtid="{D5CDD505-2E9C-101B-9397-08002B2CF9AE}" pid="17" name="Mendeley Recent Style Id 6_1">
    <vt:lpwstr>http://www.zotero.org/styles/elsevier-without-titles</vt:lpwstr>
  </property>
  <property fmtid="{D5CDD505-2E9C-101B-9397-08002B2CF9AE}" pid="18" name="Mendeley Recent Style Name 6_1">
    <vt:lpwstr>Elsevier (numeric, without titles)</vt:lpwstr>
  </property>
  <property fmtid="{D5CDD505-2E9C-101B-9397-08002B2CF9AE}" pid="19" name="Mendeley Recent Style Id 7_1">
    <vt:lpwstr>http://csl.mendeley.com/styles/572510391/elsevier-without-titles-universal</vt:lpwstr>
  </property>
  <property fmtid="{D5CDD505-2E9C-101B-9397-08002B2CF9AE}" pid="20" name="Mendeley Recent Style Name 7_1">
    <vt:lpwstr>Elsevier (numeric, without titles, universal) - Justyna Więcławik, PhD student</vt:lpwstr>
  </property>
  <property fmtid="{D5CDD505-2E9C-101B-9397-08002B2CF9AE}" pid="21" name="Mendeley Recent Style Id 8_1">
    <vt:lpwstr>http://www.zotero.org/styles/elsevier-vancouver</vt:lpwstr>
  </property>
  <property fmtid="{D5CDD505-2E9C-101B-9397-08002B2CF9AE}" pid="22" name="Mendeley Recent Style Name 8_1">
    <vt:lpwstr>Elsevier - Vancouver</vt:lpwstr>
  </property>
  <property fmtid="{D5CDD505-2E9C-101B-9397-08002B2CF9AE}" pid="23" name="Mendeley Recent Style Id 9_1">
    <vt:lpwstr>http://www.zotero.org/styles/royal-society-of-chemistry</vt:lpwstr>
  </property>
  <property fmtid="{D5CDD505-2E9C-101B-9397-08002B2CF9AE}" pid="24" name="Mendeley Recent Style Name 9_1">
    <vt:lpwstr>Royal Society of Chemistry</vt:lpwstr>
  </property>
</Properties>
</file>